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ascii="Arial Unicode MS" w:hAnsi="宋体" w:eastAsia="Arial Unicode MS"/>
          <w:color w:val="auto"/>
          <w:sz w:val="72"/>
          <w:szCs w:val="72"/>
          <w:highlight w:val="none"/>
        </w:rPr>
      </w:pPr>
      <w:bookmarkStart w:id="0" w:name="_Toc15378441"/>
      <w:bookmarkStart w:id="1" w:name="_Toc15377193"/>
      <w:bookmarkStart w:id="2" w:name="_Toc15377425"/>
      <w:bookmarkStart w:id="3" w:name="_Toc15396597"/>
      <w:bookmarkStart w:id="4" w:name="_Toc15396475"/>
      <w:bookmarkStart w:id="5" w:name="_Toc15306267"/>
    </w:p>
    <w:p>
      <w:pPr>
        <w:spacing w:line="600" w:lineRule="exact"/>
        <w:jc w:val="center"/>
        <w:outlineLvl w:val="9"/>
        <w:rPr>
          <w:rFonts w:ascii="Arial Unicode MS" w:hAnsi="宋体" w:eastAsia="Arial Unicode MS"/>
          <w:color w:val="auto"/>
          <w:sz w:val="72"/>
          <w:szCs w:val="72"/>
          <w:highlight w:val="none"/>
        </w:rPr>
      </w:pPr>
    </w:p>
    <w:p>
      <w:pPr>
        <w:spacing w:line="600" w:lineRule="exact"/>
        <w:jc w:val="center"/>
        <w:outlineLvl w:val="9"/>
        <w:rPr>
          <w:rFonts w:ascii="Arial Unicode MS" w:hAnsi="宋体" w:eastAsia="Arial Unicode MS"/>
          <w:color w:val="auto"/>
          <w:sz w:val="72"/>
          <w:szCs w:val="72"/>
          <w:highlight w:val="none"/>
        </w:rPr>
      </w:pPr>
    </w:p>
    <w:p>
      <w:pPr>
        <w:adjustRightInd w:val="0"/>
        <w:snapToGrid w:val="0"/>
        <w:spacing w:line="360" w:lineRule="auto"/>
        <w:jc w:val="center"/>
        <w:outlineLvl w:val="0"/>
        <w:rPr>
          <w:rFonts w:hint="eastAsia" w:ascii="Arial Unicode MS" w:hAnsi="Arial Unicode MS" w:eastAsia="Arial Unicode MS" w:cs="Arial Unicode MS"/>
          <w:color w:val="auto"/>
          <w:sz w:val="72"/>
          <w:szCs w:val="72"/>
          <w:highlight w:val="none"/>
        </w:rPr>
      </w:pPr>
      <w:bookmarkStart w:id="6" w:name="_Toc24636"/>
      <w:r>
        <w:rPr>
          <w:rFonts w:hint="eastAsia" w:ascii="Arial Unicode MS" w:hAnsi="Arial Unicode MS" w:eastAsia="Arial Unicode MS" w:cs="Arial Unicode MS"/>
          <w:color w:val="auto"/>
          <w:sz w:val="72"/>
          <w:szCs w:val="72"/>
          <w:highlight w:val="none"/>
        </w:rPr>
        <w:t>20</w:t>
      </w:r>
      <w:r>
        <w:rPr>
          <w:rFonts w:hint="eastAsia" w:ascii="Arial Unicode MS" w:hAnsi="Arial Unicode MS" w:eastAsia="Arial Unicode MS" w:cs="Arial Unicode MS"/>
          <w:color w:val="auto"/>
          <w:sz w:val="72"/>
          <w:szCs w:val="72"/>
          <w:highlight w:val="none"/>
          <w:lang w:val="en-US" w:eastAsia="zh-CN"/>
        </w:rPr>
        <w:t>22</w:t>
      </w:r>
      <w:r>
        <w:rPr>
          <w:rFonts w:hint="eastAsia" w:ascii="Arial Unicode MS" w:hAnsi="Arial Unicode MS" w:eastAsia="Arial Unicode MS" w:cs="Arial Unicode MS"/>
          <w:color w:val="auto"/>
          <w:sz w:val="72"/>
          <w:szCs w:val="72"/>
          <w:highlight w:val="none"/>
        </w:rPr>
        <w:t>年度</w:t>
      </w:r>
      <w:bookmarkEnd w:id="0"/>
      <w:bookmarkEnd w:id="1"/>
      <w:bookmarkEnd w:id="2"/>
      <w:bookmarkEnd w:id="3"/>
      <w:bookmarkEnd w:id="4"/>
      <w:bookmarkEnd w:id="6"/>
    </w:p>
    <w:p>
      <w:pPr>
        <w:adjustRightInd w:val="0"/>
        <w:snapToGrid w:val="0"/>
        <w:spacing w:line="360" w:lineRule="auto"/>
        <w:jc w:val="center"/>
        <w:outlineLvl w:val="0"/>
        <w:rPr>
          <w:rFonts w:hint="eastAsia" w:ascii="Arial Unicode MS" w:hAnsi="Arial Unicode MS" w:eastAsia="Arial Unicode MS" w:cs="Arial Unicode MS"/>
          <w:color w:val="auto"/>
          <w:sz w:val="72"/>
          <w:szCs w:val="72"/>
          <w:highlight w:val="none"/>
        </w:rPr>
      </w:pPr>
      <w:bookmarkStart w:id="7" w:name="_Toc15377194"/>
      <w:bookmarkStart w:id="8" w:name="_Toc15396476"/>
      <w:bookmarkStart w:id="9" w:name="_Toc15377426"/>
      <w:bookmarkStart w:id="10" w:name="_Toc15396598"/>
      <w:bookmarkStart w:id="11" w:name="_Toc15378442"/>
      <w:bookmarkStart w:id="12" w:name="_Toc1710"/>
      <w:r>
        <w:rPr>
          <w:rFonts w:hint="eastAsia" w:ascii="Arial Unicode MS" w:hAnsi="Arial Unicode MS" w:eastAsia="Arial Unicode MS" w:cs="Arial Unicode MS"/>
          <w:color w:val="auto"/>
          <w:sz w:val="72"/>
          <w:szCs w:val="72"/>
          <w:highlight w:val="none"/>
          <w:lang w:val="en-US" w:eastAsia="zh-CN"/>
        </w:rPr>
        <w:t>巴中市</w:t>
      </w:r>
      <w:bookmarkEnd w:id="5"/>
      <w:bookmarkStart w:id="13" w:name="_Toc15306268"/>
      <w:r>
        <w:rPr>
          <w:rFonts w:hint="eastAsia" w:ascii="Arial Unicode MS" w:hAnsi="Arial Unicode MS" w:eastAsia="Arial Unicode MS" w:cs="Arial Unicode MS"/>
          <w:color w:val="auto"/>
          <w:sz w:val="72"/>
          <w:szCs w:val="72"/>
          <w:highlight w:val="none"/>
          <w:lang w:val="en-US" w:eastAsia="zh-CN"/>
        </w:rPr>
        <w:t>统计局</w:t>
      </w:r>
      <w:r>
        <w:rPr>
          <w:rFonts w:hint="eastAsia" w:ascii="Arial Unicode MS" w:hAnsi="Arial Unicode MS" w:eastAsia="Arial Unicode MS" w:cs="Arial Unicode MS"/>
          <w:color w:val="auto"/>
          <w:sz w:val="72"/>
          <w:szCs w:val="72"/>
          <w:highlight w:val="none"/>
        </w:rPr>
        <w:t>部门决算</w:t>
      </w:r>
      <w:bookmarkEnd w:id="7"/>
      <w:bookmarkEnd w:id="8"/>
      <w:bookmarkEnd w:id="9"/>
      <w:bookmarkEnd w:id="10"/>
      <w:bookmarkEnd w:id="11"/>
      <w:bookmarkEnd w:id="12"/>
      <w:bookmarkEnd w:id="13"/>
    </w:p>
    <w:p>
      <w:pPr>
        <w:adjustRightInd w:val="0"/>
        <w:snapToGrid w:val="0"/>
        <w:spacing w:line="360" w:lineRule="auto"/>
        <w:jc w:val="center"/>
        <w:outlineLvl w:val="0"/>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pStyle w:val="6"/>
        <w:rPr>
          <w:rFonts w:hint="eastAsia" w:ascii="黑体" w:hAnsi="黑体" w:eastAsia="黑体"/>
          <w:color w:val="auto"/>
          <w:sz w:val="48"/>
          <w:szCs w:val="48"/>
          <w:highlight w:val="none"/>
        </w:rPr>
      </w:pPr>
    </w:p>
    <w:p>
      <w:pPr>
        <w:adjustRightInd w:val="0"/>
        <w:snapToGrid w:val="0"/>
        <w:spacing w:line="360" w:lineRule="auto"/>
        <w:jc w:val="center"/>
        <w:outlineLvl w:val="0"/>
        <w:rPr>
          <w:rFonts w:ascii="黑体" w:hAnsi="黑体" w:eastAsia="黑体" w:cstheme="minorBidi"/>
          <w:color w:val="auto"/>
          <w:sz w:val="28"/>
          <w:szCs w:val="28"/>
          <w:highlight w:val="none"/>
        </w:rPr>
      </w:pPr>
      <w:r>
        <w:rPr>
          <w:rFonts w:hint="eastAsia" w:ascii="黑体" w:hAnsi="黑体" w:eastAsia="黑体"/>
          <w:color w:val="auto"/>
          <w:sz w:val="48"/>
          <w:szCs w:val="48"/>
          <w:highlight w:val="none"/>
        </w:rPr>
        <w:t>目录</w:t>
      </w:r>
    </w:p>
    <w:p>
      <w:pPr>
        <w:pStyle w:val="12"/>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13</w:t>
      </w:r>
      <w:r>
        <w:rPr>
          <w:rFonts w:hint="eastAsia"/>
          <w:color w:val="auto"/>
          <w:highlight w:val="none"/>
        </w:rPr>
        <w:t>日</w:t>
      </w:r>
    </w:p>
    <w:p>
      <w:pPr>
        <w:rPr>
          <w:color w:val="auto"/>
          <w:highlight w:val="none"/>
        </w:rPr>
      </w:pPr>
    </w:p>
    <w:sdt>
      <w:sdtPr>
        <w:rPr>
          <w:rFonts w:ascii="宋体" w:hAnsi="宋体" w:eastAsia="宋体" w:cs="Times New Roman"/>
          <w:kern w:val="2"/>
          <w:sz w:val="24"/>
          <w:szCs w:val="24"/>
          <w:lang w:val="en-US" w:eastAsia="zh-CN" w:bidi="ar-SA"/>
        </w:rPr>
        <w:id w:val="147460794"/>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sz w:val="24"/>
              <w:szCs w:val="24"/>
            </w:rPr>
          </w:pPr>
          <w:bookmarkStart w:id="14" w:name="_Toc15377196"/>
          <w:bookmarkStart w:id="15" w:name="_Toc15396599"/>
          <w:r>
            <w:rPr>
              <w:sz w:val="24"/>
              <w:szCs w:val="24"/>
            </w:rPr>
            <w:fldChar w:fldCharType="begin"/>
          </w:r>
          <w:r>
            <w:rPr>
              <w:sz w:val="24"/>
              <w:szCs w:val="24"/>
            </w:rPr>
            <w:instrText xml:space="preserve">TOC \o "1-2" \h \u </w:instrText>
          </w:r>
          <w:r>
            <w:rPr>
              <w:sz w:val="24"/>
              <w:szCs w:val="24"/>
            </w:rPr>
            <w:fldChar w:fldCharType="separate"/>
          </w:r>
        </w:p>
        <w:p>
          <w:pPr>
            <w:pStyle w:val="35"/>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_Toc18520 </w:instrText>
          </w:r>
          <w:r>
            <w:rPr>
              <w:rFonts w:hint="eastAsia" w:ascii="仿宋" w:hAnsi="仿宋" w:eastAsia="仿宋" w:cs="仿宋"/>
              <w:b/>
              <w:sz w:val="24"/>
              <w:szCs w:val="24"/>
            </w:rPr>
            <w:fldChar w:fldCharType="separate"/>
          </w:r>
          <w:r>
            <w:rPr>
              <w:rFonts w:hint="eastAsia" w:ascii="仿宋" w:hAnsi="仿宋" w:eastAsia="仿宋" w:cs="仿宋"/>
              <w:b/>
              <w:sz w:val="24"/>
              <w:szCs w:val="24"/>
              <w:highlight w:val="none"/>
            </w:rPr>
            <w:t xml:space="preserve">第一部分 </w:t>
          </w:r>
          <w:r>
            <w:rPr>
              <w:rFonts w:hint="eastAsia" w:ascii="仿宋" w:hAnsi="仿宋" w:eastAsia="仿宋" w:cs="仿宋"/>
              <w:b/>
              <w:bCs w:val="0"/>
              <w:sz w:val="24"/>
              <w:szCs w:val="24"/>
              <w:highlight w:val="none"/>
            </w:rPr>
            <w:t>部门概况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_Toc18520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3</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_Toc7397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一、</w:t>
          </w:r>
          <w:r>
            <w:rPr>
              <w:rFonts w:hint="eastAsia" w:ascii="仿宋" w:hAnsi="仿宋" w:eastAsia="仿宋" w:cs="仿宋"/>
              <w:sz w:val="24"/>
              <w:szCs w:val="24"/>
              <w:highlight w:val="none"/>
              <w:lang w:eastAsia="zh-CN"/>
            </w:rPr>
            <w:t>部门职责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_Toc7397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_Toc30462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二、机</w:t>
          </w:r>
          <w:r>
            <w:rPr>
              <w:rFonts w:hint="eastAsia" w:ascii="仿宋" w:hAnsi="仿宋" w:eastAsia="仿宋" w:cs="仿宋"/>
              <w:bCs w:val="0"/>
              <w:sz w:val="24"/>
              <w:szCs w:val="24"/>
              <w:highlight w:val="none"/>
            </w:rPr>
            <w:t>构设置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_Toc30462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_Toc13386 </w:instrText>
          </w:r>
          <w:r>
            <w:rPr>
              <w:rFonts w:hint="eastAsia" w:ascii="仿宋" w:hAnsi="仿宋" w:eastAsia="仿宋" w:cs="仿宋"/>
              <w:b/>
              <w:sz w:val="24"/>
              <w:szCs w:val="24"/>
            </w:rPr>
            <w:fldChar w:fldCharType="separate"/>
          </w:r>
          <w:r>
            <w:rPr>
              <w:rFonts w:hint="eastAsia" w:ascii="仿宋" w:hAnsi="仿宋" w:eastAsia="仿宋" w:cs="仿宋"/>
              <w:b/>
              <w:bCs/>
              <w:sz w:val="24"/>
              <w:szCs w:val="24"/>
              <w:highlight w:val="none"/>
            </w:rPr>
            <w:t xml:space="preserve">第二部分 </w:t>
          </w:r>
          <w:r>
            <w:rPr>
              <w:rFonts w:hint="eastAsia" w:ascii="仿宋" w:hAnsi="仿宋" w:eastAsia="仿宋" w:cs="仿宋"/>
              <w:b/>
              <w:bCs/>
              <w:sz w:val="24"/>
              <w:szCs w:val="24"/>
              <w:highlight w:val="none"/>
              <w:lang w:val="en-US" w:eastAsia="zh-CN"/>
            </w:rPr>
            <w:t>2022年度</w:t>
          </w:r>
          <w:r>
            <w:rPr>
              <w:rFonts w:hint="eastAsia" w:ascii="仿宋" w:hAnsi="仿宋" w:eastAsia="仿宋" w:cs="仿宋"/>
              <w:b/>
              <w:bCs/>
              <w:sz w:val="24"/>
              <w:szCs w:val="24"/>
              <w:highlight w:val="none"/>
            </w:rPr>
            <w:t>部门决算情况说明</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_Toc13386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5</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_Toc30653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一、 </w:t>
          </w:r>
          <w:r>
            <w:rPr>
              <w:rFonts w:hint="eastAsia" w:ascii="仿宋" w:hAnsi="仿宋" w:eastAsia="仿宋" w:cs="仿宋"/>
              <w:sz w:val="24"/>
              <w:szCs w:val="24"/>
              <w:highlight w:val="none"/>
            </w:rPr>
            <w:t>收入支出决算总体情况说明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_Toc30653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_Toc25008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二、 </w:t>
          </w:r>
          <w:r>
            <w:rPr>
              <w:rFonts w:hint="eastAsia" w:ascii="仿宋" w:hAnsi="仿宋" w:eastAsia="仿宋" w:cs="仿宋"/>
              <w:sz w:val="24"/>
              <w:szCs w:val="24"/>
              <w:highlight w:val="none"/>
            </w:rPr>
            <w:t>收入决算情况说明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_Toc25008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_Toc834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三、 </w:t>
          </w:r>
          <w:r>
            <w:rPr>
              <w:rFonts w:hint="eastAsia" w:ascii="仿宋" w:hAnsi="仿宋" w:eastAsia="仿宋" w:cs="仿宋"/>
              <w:sz w:val="24"/>
              <w:szCs w:val="24"/>
              <w:highlight w:val="none"/>
            </w:rPr>
            <w:t>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_Toc834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_Toc11972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四、财政拨款收入支出决算总体情况说明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_Toc11972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_Toc6906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五、一般公共预算财政拨款支出决算情况说明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_Toc6906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_Toc4396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六、一般公共预算财政拨款基本支出决算情况说明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_Toc4396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_Toc2375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七、财政拨款“三公”经费支出决算情况说明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_Toc2375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_Toc6418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八、政府性基金预算支出决算情况说明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_Toc6418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_Toc14989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九、 </w:t>
          </w:r>
          <w:r>
            <w:rPr>
              <w:rFonts w:hint="eastAsia" w:ascii="仿宋" w:hAnsi="仿宋" w:eastAsia="仿宋" w:cs="仿宋"/>
              <w:sz w:val="24"/>
              <w:szCs w:val="24"/>
              <w:highlight w:val="none"/>
            </w:rPr>
            <w:t>国有资本经营预算支出决算情况说明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_Toc14989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_Toc30716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十、 </w:t>
          </w:r>
          <w:r>
            <w:rPr>
              <w:rFonts w:hint="eastAsia" w:ascii="仿宋" w:hAnsi="仿宋" w:eastAsia="仿宋" w:cs="仿宋"/>
              <w:sz w:val="24"/>
              <w:szCs w:val="24"/>
              <w:highlight w:val="none"/>
            </w:rPr>
            <w:t>其他重要事项的情况说明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_Toc30716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_Toc23740 </w:instrText>
          </w:r>
          <w:r>
            <w:rPr>
              <w:rFonts w:hint="eastAsia" w:ascii="仿宋" w:hAnsi="仿宋" w:eastAsia="仿宋" w:cs="仿宋"/>
              <w:b/>
              <w:sz w:val="24"/>
              <w:szCs w:val="24"/>
            </w:rPr>
            <w:fldChar w:fldCharType="separate"/>
          </w:r>
          <w:r>
            <w:rPr>
              <w:rFonts w:hint="eastAsia" w:ascii="仿宋" w:hAnsi="仿宋" w:eastAsia="仿宋" w:cs="仿宋"/>
              <w:b/>
              <w:sz w:val="24"/>
              <w:szCs w:val="24"/>
            </w:rPr>
            <w:t xml:space="preserve">第三部分 </w:t>
          </w:r>
          <w:r>
            <w:rPr>
              <w:rFonts w:hint="eastAsia" w:ascii="仿宋" w:hAnsi="仿宋" w:eastAsia="仿宋" w:cs="仿宋"/>
              <w:b/>
              <w:sz w:val="24"/>
              <w:szCs w:val="24"/>
              <w:highlight w:val="none"/>
            </w:rPr>
            <w:t>名词解释</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_Toc23740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15</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5"/>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_Toc28035 </w:instrText>
          </w:r>
          <w:r>
            <w:rPr>
              <w:rFonts w:hint="eastAsia" w:ascii="仿宋" w:hAnsi="仿宋" w:eastAsia="仿宋" w:cs="仿宋"/>
              <w:b/>
              <w:sz w:val="24"/>
              <w:szCs w:val="24"/>
            </w:rPr>
            <w:fldChar w:fldCharType="separate"/>
          </w:r>
          <w:r>
            <w:rPr>
              <w:rFonts w:hint="eastAsia" w:ascii="仿宋" w:hAnsi="仿宋" w:eastAsia="仿宋" w:cs="仿宋"/>
              <w:b/>
              <w:sz w:val="24"/>
              <w:szCs w:val="24"/>
              <w:highlight w:val="none"/>
            </w:rPr>
            <w:t>第四部分 附件</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_Toc28035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_Toc26800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附件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_Toc26800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_Toc22884 </w:instrText>
          </w:r>
          <w:r>
            <w:rPr>
              <w:rFonts w:hint="eastAsia" w:ascii="仿宋" w:hAnsi="仿宋" w:eastAsia="仿宋" w:cs="仿宋"/>
              <w:b/>
              <w:sz w:val="24"/>
              <w:szCs w:val="24"/>
            </w:rPr>
            <w:fldChar w:fldCharType="separate"/>
          </w:r>
          <w:r>
            <w:rPr>
              <w:rFonts w:hint="eastAsia" w:ascii="仿宋" w:hAnsi="仿宋" w:eastAsia="仿宋" w:cs="仿宋"/>
              <w:b/>
              <w:sz w:val="24"/>
              <w:szCs w:val="24"/>
              <w:highlight w:val="none"/>
            </w:rPr>
            <w:t>第五部分 附表</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_Toc22884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32</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_Toc2757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一、收</w:t>
          </w:r>
          <w:r>
            <w:rPr>
              <w:rFonts w:hint="eastAsia" w:ascii="仿宋" w:hAnsi="仿宋" w:eastAsia="仿宋" w:cs="仿宋"/>
              <w:bCs w:val="0"/>
              <w:sz w:val="24"/>
              <w:szCs w:val="24"/>
              <w:highlight w:val="none"/>
            </w:rPr>
            <w:t>入支出决算总表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_Toc2757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_Toc29781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二、收</w:t>
          </w:r>
          <w:r>
            <w:rPr>
              <w:rFonts w:hint="eastAsia" w:ascii="仿宋" w:hAnsi="仿宋" w:eastAsia="仿宋" w:cs="仿宋"/>
              <w:bCs w:val="0"/>
              <w:sz w:val="24"/>
              <w:szCs w:val="24"/>
              <w:highlight w:val="none"/>
            </w:rPr>
            <w:t>入决算表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_Toc29781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_Toc32502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三、</w:t>
          </w:r>
          <w:r>
            <w:rPr>
              <w:rFonts w:hint="eastAsia" w:ascii="仿宋" w:hAnsi="仿宋" w:eastAsia="仿宋" w:cs="仿宋"/>
              <w:sz w:val="24"/>
              <w:szCs w:val="24"/>
              <w:highlight w:val="none"/>
            </w:rPr>
            <w:t>支</w:t>
          </w:r>
          <w:r>
            <w:rPr>
              <w:rFonts w:hint="eastAsia" w:ascii="仿宋" w:hAnsi="仿宋" w:eastAsia="仿宋" w:cs="仿宋"/>
              <w:bCs w:val="0"/>
              <w:sz w:val="24"/>
              <w:szCs w:val="24"/>
              <w:highlight w:val="none"/>
            </w:rPr>
            <w:t>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_Toc32502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_Toc2005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四、</w:t>
          </w:r>
          <w:r>
            <w:rPr>
              <w:rFonts w:hint="eastAsia" w:ascii="仿宋" w:hAnsi="仿宋" w:eastAsia="仿宋" w:cs="仿宋"/>
              <w:sz w:val="24"/>
              <w:szCs w:val="24"/>
              <w:highlight w:val="none"/>
            </w:rPr>
            <w:t>财</w:t>
          </w:r>
          <w:r>
            <w:rPr>
              <w:rFonts w:hint="eastAsia" w:ascii="仿宋" w:hAnsi="仿宋" w:eastAsia="仿宋" w:cs="仿宋"/>
              <w:bCs w:val="0"/>
              <w:sz w:val="24"/>
              <w:szCs w:val="24"/>
              <w:highlight w:val="none"/>
            </w:rPr>
            <w:t>政拨款收入支出决算总表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_Toc2005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_Toc14055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五、</w:t>
          </w:r>
          <w:r>
            <w:rPr>
              <w:rFonts w:hint="eastAsia" w:ascii="仿宋" w:hAnsi="仿宋" w:eastAsia="仿宋" w:cs="仿宋"/>
              <w:sz w:val="24"/>
              <w:szCs w:val="24"/>
              <w:highlight w:val="none"/>
            </w:rPr>
            <w:t>财</w:t>
          </w:r>
          <w:r>
            <w:rPr>
              <w:rFonts w:hint="eastAsia" w:ascii="仿宋" w:hAnsi="仿宋" w:eastAsia="仿宋" w:cs="仿宋"/>
              <w:bCs w:val="0"/>
              <w:sz w:val="24"/>
              <w:szCs w:val="24"/>
              <w:highlight w:val="none"/>
            </w:rPr>
            <w:t>政拨款支出决算明细表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_Toc14055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_Toc16595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六、</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_Toc16595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_Toc16663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七、</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般公共预算财政拨款支出决算明细表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_Toc16663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_Toc31712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八、</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般公共预算财政拨款基本支出决算表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_Toc31712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_Toc6077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九、</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般公共预算财政拨款项目支出决算表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_Toc6077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_Toc8880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w:t>
          </w:r>
          <w:r>
            <w:rPr>
              <w:rFonts w:hint="eastAsia" w:ascii="仿宋" w:hAnsi="仿宋" w:eastAsia="仿宋" w:cs="仿宋"/>
              <w:sz w:val="24"/>
              <w:szCs w:val="24"/>
              <w:highlight w:val="none"/>
            </w:rPr>
            <w:t>政</w:t>
          </w:r>
          <w:r>
            <w:rPr>
              <w:rFonts w:hint="eastAsia" w:ascii="仿宋" w:hAnsi="仿宋" w:eastAsia="仿宋" w:cs="仿宋"/>
              <w:bCs w:val="0"/>
              <w:sz w:val="24"/>
              <w:szCs w:val="24"/>
              <w:highlight w:val="none"/>
            </w:rPr>
            <w:t>府性基金预算财政拨款收入支出决算表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_Toc8880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_Toc23717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十一、</w:t>
          </w:r>
          <w:r>
            <w:rPr>
              <w:rFonts w:hint="eastAsia" w:ascii="仿宋" w:hAnsi="仿宋" w:eastAsia="仿宋" w:cs="仿宋"/>
              <w:sz w:val="24"/>
              <w:szCs w:val="24"/>
              <w:highlight w:val="none"/>
            </w:rPr>
            <w:t>国</w:t>
          </w:r>
          <w:r>
            <w:rPr>
              <w:rFonts w:hint="eastAsia" w:ascii="仿宋" w:hAnsi="仿宋" w:eastAsia="仿宋" w:cs="仿宋"/>
              <w:bCs w:val="0"/>
              <w:sz w:val="24"/>
              <w:szCs w:val="24"/>
              <w:highlight w:val="none"/>
            </w:rPr>
            <w:t>有资本经营预算</w:t>
          </w:r>
          <w:r>
            <w:rPr>
              <w:rFonts w:hint="eastAsia" w:ascii="仿宋" w:hAnsi="仿宋" w:eastAsia="仿宋" w:cs="仿宋"/>
              <w:bCs w:val="0"/>
              <w:sz w:val="24"/>
              <w:szCs w:val="24"/>
              <w:highlight w:val="none"/>
              <w:lang w:eastAsia="zh-CN"/>
            </w:rPr>
            <w:t>财政拨款收入</w:t>
          </w:r>
          <w:r>
            <w:rPr>
              <w:rFonts w:hint="eastAsia" w:ascii="仿宋" w:hAnsi="仿宋" w:eastAsia="仿宋" w:cs="仿宋"/>
              <w:bCs w:val="0"/>
              <w:sz w:val="24"/>
              <w:szCs w:val="24"/>
              <w:highlight w:val="none"/>
            </w:rPr>
            <w:t>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_Toc23717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_Toc31497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十二、</w:t>
          </w:r>
          <w:r>
            <w:rPr>
              <w:rFonts w:hint="eastAsia" w:ascii="仿宋" w:hAnsi="仿宋" w:eastAsia="仿宋" w:cs="仿宋"/>
              <w:bCs w:val="0"/>
              <w:sz w:val="24"/>
              <w:szCs w:val="24"/>
              <w:highlight w:val="none"/>
              <w:lang w:eastAsia="zh-CN"/>
            </w:rPr>
            <w:t>国有资本经营预算财政拨款支出决算表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_Toc31497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6"/>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_Toc25862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十三、</w:t>
          </w:r>
          <w:r>
            <w:rPr>
              <w:rFonts w:hint="eastAsia" w:ascii="仿宋" w:hAnsi="仿宋" w:eastAsia="仿宋" w:cs="仿宋"/>
              <w:bCs w:val="0"/>
              <w:sz w:val="24"/>
              <w:szCs w:val="24"/>
              <w:highlight w:val="none"/>
              <w:lang w:eastAsia="zh-CN"/>
            </w:rPr>
            <w:t>财政拨款“三公”经费支出决算表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_Toc25862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r>
            <w:rPr>
              <w:b/>
              <w:sz w:val="24"/>
              <w:szCs w:val="24"/>
            </w:rPr>
            <w:fldChar w:fldCharType="end"/>
          </w:r>
        </w:p>
      </w:sdtContent>
    </w:sdt>
    <w:p>
      <w:pPr>
        <w:widowControl/>
        <w:spacing w:line="440" w:lineRule="exact"/>
        <w:jc w:val="left"/>
        <w:rPr>
          <w:rFonts w:hint="eastAsia" w:ascii="仿宋" w:hAnsi="仿宋" w:eastAsia="仿宋"/>
          <w:bCs/>
          <w:color w:val="auto"/>
          <w:kern w:val="44"/>
          <w:sz w:val="24"/>
          <w:highlight w:val="yellow"/>
          <w:lang w:eastAsia="zh-CN"/>
        </w:rPr>
      </w:pPr>
    </w:p>
    <w:p>
      <w:pPr>
        <w:pStyle w:val="3"/>
        <w:jc w:val="center"/>
        <w:rPr>
          <w:rFonts w:ascii="黑体" w:eastAsia="黑体"/>
          <w:color w:val="auto"/>
          <w:sz w:val="32"/>
          <w:szCs w:val="32"/>
          <w:highlight w:val="none"/>
        </w:rPr>
      </w:pPr>
      <w:bookmarkStart w:id="16" w:name="_Toc18520"/>
      <w:r>
        <w:rPr>
          <w:rFonts w:hint="eastAsia" w:ascii="黑体" w:hAnsi="黑体" w:eastAsia="黑体"/>
          <w:b w:val="0"/>
          <w:color w:val="auto"/>
          <w:highlight w:val="none"/>
        </w:rPr>
        <w:t xml:space="preserve">第一部分 </w:t>
      </w:r>
      <w:r>
        <w:rPr>
          <w:rStyle w:val="28"/>
          <w:rFonts w:hint="eastAsia" w:ascii="黑体" w:hAnsi="黑体" w:eastAsia="黑体"/>
          <w:b w:val="0"/>
          <w:bCs w:val="0"/>
          <w:color w:val="auto"/>
          <w:highlight w:val="none"/>
        </w:rPr>
        <w:t>部门概况</w:t>
      </w:r>
      <w:bookmarkEnd w:id="14"/>
      <w:bookmarkEnd w:id="15"/>
      <w:bookmarkEnd w:id="16"/>
    </w:p>
    <w:p>
      <w:pPr>
        <w:pStyle w:val="4"/>
        <w:ind w:firstLine="640" w:firstLineChars="200"/>
        <w:rPr>
          <w:rFonts w:ascii="仿宋" w:hAnsi="仿宋" w:eastAsia="仿宋"/>
          <w:bCs/>
          <w:sz w:val="32"/>
          <w:szCs w:val="32"/>
        </w:rPr>
      </w:pPr>
      <w:bookmarkStart w:id="17" w:name="_Toc15396600"/>
      <w:bookmarkStart w:id="18" w:name="_Toc15377197"/>
      <w:bookmarkStart w:id="19" w:name="_Toc7397"/>
      <w:r>
        <w:rPr>
          <w:rFonts w:hint="eastAsia" w:ascii="黑体" w:hAnsi="黑体" w:eastAsia="黑体"/>
          <w:b w:val="0"/>
          <w:color w:val="auto"/>
          <w:highlight w:val="none"/>
        </w:rPr>
        <w:t>一、</w:t>
      </w:r>
      <w:bookmarkEnd w:id="17"/>
      <w:bookmarkEnd w:id="18"/>
      <w:r>
        <w:rPr>
          <w:rFonts w:hint="eastAsia" w:ascii="黑体" w:hAnsi="黑体" w:eastAsia="黑体"/>
          <w:b w:val="0"/>
          <w:color w:val="auto"/>
          <w:highlight w:val="none"/>
          <w:lang w:eastAsia="zh-CN"/>
        </w:rPr>
        <w:t>部门职责</w:t>
      </w:r>
      <w:bookmarkEnd w:id="19"/>
    </w:p>
    <w:p>
      <w:pPr>
        <w:spacing w:line="576" w:lineRule="exact"/>
        <w:ind w:firstLine="640" w:firstLineChars="200"/>
        <w:rPr>
          <w:rFonts w:eastAsia="方正仿宋_GBK" w:cs="宋体"/>
          <w:color w:val="000000"/>
          <w:sz w:val="32"/>
          <w:szCs w:val="32"/>
          <w:shd w:val="clear" w:color="auto" w:fill="FFFFFF"/>
          <w:lang w:val="zh-CN"/>
        </w:rPr>
      </w:pPr>
      <w:r>
        <w:rPr>
          <w:rFonts w:hint="eastAsia" w:eastAsia="方正仿宋_GBK" w:cs="宋体"/>
          <w:color w:val="000000"/>
          <w:sz w:val="32"/>
          <w:szCs w:val="32"/>
          <w:shd w:val="clear" w:color="auto" w:fill="FFFFFF"/>
          <w:lang w:val="zh-CN"/>
        </w:rPr>
        <w:t>1.贯彻执行国家有关统计工作的法律、法规，草拟全市统计工作的规章、制度、统计现代化建设规划和统计调查计划，组织领导和监督检查全市各县区、部门的统计和国民经济核算工作，监督检查统计法律、法规的实施。负责组织、协调本行政区域内的统计登记。</w:t>
      </w:r>
    </w:p>
    <w:p>
      <w:pPr>
        <w:spacing w:line="576" w:lineRule="exact"/>
        <w:ind w:firstLine="640" w:firstLineChars="200"/>
        <w:rPr>
          <w:rFonts w:eastAsia="方正仿宋_GBK" w:cs="宋体"/>
          <w:color w:val="000000"/>
          <w:sz w:val="32"/>
          <w:szCs w:val="32"/>
          <w:shd w:val="clear" w:color="auto" w:fill="FFFFFF"/>
          <w:lang w:val="zh-CN"/>
        </w:rPr>
      </w:pPr>
      <w:r>
        <w:rPr>
          <w:rFonts w:hint="eastAsia" w:eastAsia="方正仿宋_GBK" w:cs="宋体"/>
          <w:color w:val="000000"/>
          <w:sz w:val="32"/>
          <w:szCs w:val="32"/>
          <w:shd w:val="clear" w:color="auto" w:fill="FFFFFF"/>
          <w:lang w:val="zh-CN"/>
        </w:rPr>
        <w:t>2.建立健全全市国民经济核算体系和统计指标体系，建立和管理全市基本统计报表，制定全市统计标准，审定部门统计标准，管理统计调查项目，审批调查方案。</w:t>
      </w:r>
    </w:p>
    <w:p>
      <w:pPr>
        <w:spacing w:line="576" w:lineRule="exact"/>
        <w:ind w:firstLine="640" w:firstLineChars="200"/>
        <w:rPr>
          <w:rFonts w:eastAsia="方正仿宋_GBK" w:cs="宋体"/>
          <w:color w:val="000000"/>
          <w:sz w:val="32"/>
          <w:szCs w:val="32"/>
          <w:shd w:val="clear" w:color="auto" w:fill="FFFFFF"/>
          <w:lang w:val="zh-CN"/>
        </w:rPr>
      </w:pPr>
      <w:r>
        <w:rPr>
          <w:rFonts w:hint="eastAsia" w:eastAsia="方正仿宋_GBK" w:cs="宋体"/>
          <w:color w:val="000000"/>
          <w:sz w:val="32"/>
          <w:szCs w:val="32"/>
          <w:shd w:val="clear" w:color="auto" w:fill="FFFFFF"/>
          <w:lang w:val="zh-CN"/>
        </w:rPr>
        <w:t>3.组织实施全市重大国情国力普查和专项调查，汇总、整理全市基本统计资料，对国民经济、科技进步和社会发展情况进行统计分析、预测和监督，组织非公有制经济调查。向市委、市政府以及有关部门提供统计信息和咨询建议。</w:t>
      </w:r>
    </w:p>
    <w:p>
      <w:pPr>
        <w:spacing w:line="576" w:lineRule="exact"/>
        <w:ind w:firstLine="640" w:firstLineChars="200"/>
        <w:rPr>
          <w:rFonts w:eastAsia="方正仿宋_GBK" w:cs="宋体"/>
          <w:color w:val="000000"/>
          <w:sz w:val="32"/>
          <w:szCs w:val="32"/>
          <w:shd w:val="clear" w:color="auto" w:fill="FFFFFF"/>
          <w:lang w:val="zh-CN"/>
        </w:rPr>
      </w:pPr>
      <w:r>
        <w:rPr>
          <w:rFonts w:hint="eastAsia" w:eastAsia="方正仿宋_GBK" w:cs="宋体"/>
          <w:color w:val="000000"/>
          <w:sz w:val="32"/>
          <w:szCs w:val="32"/>
          <w:shd w:val="clear" w:color="auto" w:fill="FFFFFF"/>
          <w:lang w:val="zh-CN"/>
        </w:rPr>
        <w:t>4.统一核定、管理、发布全市的基本统计资料，定期向社会公众发布全市性国民经济和社会发展情况的统计信息。</w:t>
      </w:r>
    </w:p>
    <w:p>
      <w:pPr>
        <w:spacing w:line="576" w:lineRule="exact"/>
        <w:ind w:firstLine="720"/>
        <w:rPr>
          <w:rFonts w:eastAsia="方正仿宋_GBK" w:cs="宋体"/>
          <w:color w:val="000000"/>
          <w:sz w:val="32"/>
          <w:szCs w:val="32"/>
          <w:shd w:val="clear" w:color="auto" w:fill="FFFFFF"/>
          <w:lang w:val="zh-CN"/>
        </w:rPr>
      </w:pPr>
      <w:r>
        <w:rPr>
          <w:rFonts w:eastAsia="方正仿宋_GBK" w:cs="宋体"/>
          <w:color w:val="000000"/>
          <w:sz w:val="32"/>
          <w:szCs w:val="32"/>
          <w:shd w:val="clear" w:color="auto" w:fill="FFFFFF"/>
          <w:lang w:val="zh-CN"/>
        </w:rPr>
        <w:t>5</w:t>
      </w:r>
      <w:r>
        <w:rPr>
          <w:rFonts w:hint="eastAsia" w:eastAsia="方正仿宋_GBK" w:cs="宋体"/>
          <w:color w:val="000000"/>
          <w:sz w:val="32"/>
          <w:szCs w:val="32"/>
          <w:shd w:val="clear" w:color="auto" w:fill="FFFFFF"/>
          <w:lang w:val="zh-CN"/>
        </w:rPr>
        <w:t>.建立健全和管理全市统计信息自动化建设系统和统计数据库体系，制定统计数据库网络的基本标准和运行规定。</w:t>
      </w:r>
    </w:p>
    <w:p>
      <w:pPr>
        <w:spacing w:line="576" w:lineRule="exact"/>
        <w:ind w:firstLine="720"/>
        <w:rPr>
          <w:rFonts w:eastAsia="方正仿宋_GBK" w:cs="宋体"/>
          <w:color w:val="000000"/>
          <w:sz w:val="32"/>
          <w:szCs w:val="32"/>
          <w:shd w:val="clear" w:color="auto" w:fill="FFFFFF"/>
          <w:lang w:val="zh-CN"/>
        </w:rPr>
      </w:pPr>
      <w:r>
        <w:rPr>
          <w:rFonts w:hint="eastAsia" w:eastAsia="方正仿宋_GBK" w:cs="宋体"/>
          <w:color w:val="000000"/>
          <w:sz w:val="32"/>
          <w:szCs w:val="32"/>
          <w:shd w:val="clear" w:color="auto" w:fill="FFFFFF"/>
          <w:lang w:val="zh-CN"/>
        </w:rPr>
        <w:t>6.组织管理全市统计专业资格考试和职称评定、统计系统公务员业务培训、统计专业人员岗位培训和继续教育工作。</w:t>
      </w:r>
    </w:p>
    <w:p>
      <w:pPr>
        <w:spacing w:line="576" w:lineRule="exact"/>
        <w:ind w:firstLine="720"/>
        <w:rPr>
          <w:rFonts w:eastAsia="方正仿宋_GBK" w:cs="宋体"/>
          <w:color w:val="000000"/>
          <w:sz w:val="32"/>
          <w:szCs w:val="32"/>
          <w:shd w:val="clear" w:color="auto" w:fill="FFFFFF"/>
          <w:lang w:val="zh-CN"/>
        </w:rPr>
      </w:pPr>
      <w:r>
        <w:rPr>
          <w:rFonts w:eastAsia="方正仿宋_GBK" w:cs="宋体"/>
          <w:color w:val="000000"/>
          <w:sz w:val="32"/>
          <w:szCs w:val="32"/>
          <w:shd w:val="clear" w:color="auto" w:fill="FFFFFF"/>
          <w:lang w:val="zh-CN"/>
        </w:rPr>
        <w:t>7</w:t>
      </w:r>
      <w:r>
        <w:rPr>
          <w:rFonts w:hint="eastAsia" w:eastAsia="方正仿宋_GBK" w:cs="宋体"/>
          <w:color w:val="000000"/>
          <w:sz w:val="32"/>
          <w:szCs w:val="32"/>
          <w:shd w:val="clear" w:color="auto" w:fill="FFFFFF"/>
          <w:lang w:val="zh-CN"/>
        </w:rPr>
        <w:t>.承办市政府交办的其他事项。</w:t>
      </w:r>
      <w:r>
        <w:rPr>
          <w:rFonts w:hint="eastAsia" w:eastAsia="方正楷体_GBK" w:cs="宋体"/>
          <w:color w:val="000000"/>
          <w:sz w:val="32"/>
          <w:szCs w:val="32"/>
          <w:shd w:val="clear" w:color="auto" w:fill="FFFFFF"/>
          <w:lang w:val="zh-CN"/>
        </w:rPr>
        <w:t>　　</w:t>
      </w:r>
    </w:p>
    <w:p>
      <w:pPr>
        <w:rPr>
          <w:rFonts w:hint="eastAsia"/>
          <w:lang w:eastAsia="zh-CN"/>
        </w:rPr>
      </w:pPr>
    </w:p>
    <w:p>
      <w:pPr>
        <w:pStyle w:val="4"/>
        <w:ind w:firstLine="640" w:firstLineChars="200"/>
        <w:rPr>
          <w:rStyle w:val="29"/>
          <w:b w:val="0"/>
          <w:bCs w:val="0"/>
          <w:color w:val="auto"/>
          <w:highlight w:val="none"/>
        </w:rPr>
      </w:pPr>
      <w:bookmarkStart w:id="20" w:name="_Toc15396601"/>
      <w:bookmarkStart w:id="21" w:name="_Toc30462"/>
      <w:bookmarkStart w:id="22" w:name="_Toc15377200"/>
      <w:r>
        <w:rPr>
          <w:rFonts w:hint="eastAsia" w:ascii="黑体" w:eastAsia="黑体"/>
          <w:b w:val="0"/>
          <w:color w:val="auto"/>
          <w:highlight w:val="none"/>
        </w:rPr>
        <w:t>二、</w:t>
      </w:r>
      <w:r>
        <w:rPr>
          <w:rFonts w:hint="eastAsia" w:ascii="黑体" w:hAnsi="黑体" w:eastAsia="黑体"/>
          <w:b w:val="0"/>
          <w:color w:val="auto"/>
          <w:highlight w:val="none"/>
        </w:rPr>
        <w:t>机</w:t>
      </w:r>
      <w:r>
        <w:rPr>
          <w:rStyle w:val="29"/>
          <w:rFonts w:hint="eastAsia" w:ascii="黑体" w:hAnsi="黑体" w:eastAsia="黑体"/>
          <w:b w:val="0"/>
          <w:bCs w:val="0"/>
          <w:color w:val="auto"/>
          <w:highlight w:val="none"/>
        </w:rPr>
        <w:t>构设置</w:t>
      </w:r>
      <w:bookmarkEnd w:id="20"/>
      <w:bookmarkEnd w:id="21"/>
      <w:bookmarkEnd w:id="22"/>
    </w:p>
    <w:p>
      <w:pPr>
        <w:spacing w:line="580" w:lineRule="exact"/>
        <w:ind w:firstLine="640" w:firstLineChars="200"/>
        <w:rPr>
          <w:rFonts w:eastAsia="方正仿宋_GBK"/>
          <w:sz w:val="32"/>
          <w:szCs w:val="32"/>
        </w:rPr>
      </w:pPr>
      <w:r>
        <w:rPr>
          <w:rFonts w:hint="eastAsia" w:eastAsia="方正仿宋_GBK"/>
          <w:sz w:val="32"/>
          <w:szCs w:val="32"/>
        </w:rPr>
        <w:t>巴中</w:t>
      </w:r>
      <w:r>
        <w:rPr>
          <w:rFonts w:eastAsia="方正仿宋_GBK"/>
          <w:sz w:val="32"/>
          <w:szCs w:val="32"/>
        </w:rPr>
        <w:t>市统计局</w:t>
      </w:r>
      <w:r>
        <w:rPr>
          <w:rFonts w:hint="eastAsia" w:eastAsia="方正仿宋_GBK"/>
          <w:sz w:val="32"/>
          <w:szCs w:val="32"/>
        </w:rPr>
        <w:t>下属二级单位</w:t>
      </w:r>
      <w:r>
        <w:rPr>
          <w:rFonts w:eastAsia="方正仿宋_GBK"/>
          <w:sz w:val="32"/>
          <w:szCs w:val="32"/>
        </w:rPr>
        <w:t>4</w:t>
      </w:r>
      <w:r>
        <w:rPr>
          <w:rFonts w:hint="eastAsia" w:eastAsia="方正仿宋_GBK"/>
          <w:sz w:val="32"/>
          <w:szCs w:val="32"/>
        </w:rPr>
        <w:t>个，其中行政单位</w:t>
      </w:r>
      <w:r>
        <w:rPr>
          <w:rFonts w:eastAsia="方正仿宋_GBK"/>
          <w:sz w:val="32"/>
          <w:szCs w:val="32"/>
        </w:rPr>
        <w:t>1</w:t>
      </w:r>
      <w:r>
        <w:rPr>
          <w:rFonts w:hint="eastAsia" w:eastAsia="方正仿宋_GBK"/>
          <w:sz w:val="32"/>
          <w:szCs w:val="32"/>
        </w:rPr>
        <w:t>个，参照公务员法管理的事业单位</w:t>
      </w:r>
      <w:r>
        <w:rPr>
          <w:rFonts w:eastAsia="方正仿宋_GBK"/>
          <w:bCs/>
          <w:sz w:val="32"/>
          <w:szCs w:val="32"/>
        </w:rPr>
        <w:t>2</w:t>
      </w:r>
      <w:r>
        <w:rPr>
          <w:rFonts w:hint="eastAsia" w:eastAsia="方正仿宋_GBK"/>
          <w:sz w:val="32"/>
          <w:szCs w:val="32"/>
        </w:rPr>
        <w:t>个，其他事业单位</w:t>
      </w:r>
      <w:r>
        <w:rPr>
          <w:rFonts w:eastAsia="方正仿宋_GBK"/>
          <w:sz w:val="32"/>
          <w:szCs w:val="32"/>
        </w:rPr>
        <w:t>1</w:t>
      </w:r>
      <w:r>
        <w:rPr>
          <w:rFonts w:hint="eastAsia" w:eastAsia="方正仿宋_GBK"/>
          <w:sz w:val="32"/>
          <w:szCs w:val="32"/>
        </w:rPr>
        <w:t>个。</w:t>
      </w:r>
    </w:p>
    <w:p>
      <w:pPr>
        <w:adjustRightInd w:val="0"/>
        <w:snapToGrid w:val="0"/>
        <w:spacing w:line="580" w:lineRule="exact"/>
        <w:ind w:firstLine="672" w:firstLineChars="210"/>
        <w:rPr>
          <w:rFonts w:eastAsia="方正仿宋_GBK"/>
          <w:color w:val="000000"/>
          <w:kern w:val="0"/>
          <w:sz w:val="32"/>
          <w:szCs w:val="32"/>
        </w:rPr>
      </w:pPr>
      <w:r>
        <w:rPr>
          <w:rFonts w:hint="eastAsia" w:eastAsia="方正仿宋_GBK"/>
          <w:color w:val="000000"/>
          <w:kern w:val="0"/>
          <w:sz w:val="32"/>
          <w:szCs w:val="32"/>
        </w:rPr>
        <w:t>纳入巴中市</w:t>
      </w:r>
      <w:r>
        <w:rPr>
          <w:rFonts w:eastAsia="方正仿宋_GBK"/>
          <w:color w:val="000000"/>
          <w:kern w:val="0"/>
          <w:sz w:val="32"/>
          <w:szCs w:val="32"/>
        </w:rPr>
        <w:t>统计局202</w:t>
      </w:r>
      <w:r>
        <w:rPr>
          <w:rFonts w:hint="eastAsia" w:eastAsia="方正仿宋_GBK"/>
          <w:color w:val="000000"/>
          <w:kern w:val="0"/>
          <w:sz w:val="32"/>
          <w:szCs w:val="32"/>
          <w:lang w:val="en-US" w:eastAsia="zh-CN"/>
        </w:rPr>
        <w:t>2</w:t>
      </w:r>
      <w:r>
        <w:rPr>
          <w:rFonts w:hint="eastAsia" w:eastAsia="方正仿宋_GBK"/>
          <w:color w:val="000000"/>
          <w:kern w:val="0"/>
          <w:sz w:val="32"/>
          <w:szCs w:val="32"/>
        </w:rPr>
        <w:t>年度部门决算编制范围的二级预算单位包括：</w:t>
      </w:r>
      <w:bookmarkStart w:id="106" w:name="_GoBack"/>
      <w:bookmarkEnd w:id="106"/>
    </w:p>
    <w:p>
      <w:pPr>
        <w:numPr>
          <w:ilvl w:val="0"/>
          <w:numId w:val="1"/>
        </w:numPr>
        <w:adjustRightInd w:val="0"/>
        <w:snapToGrid w:val="0"/>
        <w:spacing w:line="580" w:lineRule="exact"/>
        <w:outlineLvl w:val="2"/>
        <w:rPr>
          <w:rFonts w:eastAsia="方正仿宋_GBK"/>
          <w:color w:val="000000"/>
          <w:kern w:val="0"/>
          <w:sz w:val="32"/>
          <w:szCs w:val="32"/>
        </w:rPr>
      </w:pPr>
      <w:r>
        <w:rPr>
          <w:rFonts w:hint="eastAsia" w:eastAsia="方正仿宋_GBK"/>
          <w:color w:val="000000"/>
          <w:kern w:val="0"/>
          <w:sz w:val="32"/>
          <w:szCs w:val="32"/>
        </w:rPr>
        <w:t>巴中市</w:t>
      </w:r>
      <w:r>
        <w:rPr>
          <w:rFonts w:eastAsia="方正仿宋_GBK"/>
          <w:color w:val="000000"/>
          <w:kern w:val="0"/>
          <w:sz w:val="32"/>
          <w:szCs w:val="32"/>
        </w:rPr>
        <w:t>统计局</w:t>
      </w:r>
    </w:p>
    <w:p>
      <w:pPr>
        <w:numPr>
          <w:ilvl w:val="0"/>
          <w:numId w:val="1"/>
        </w:numPr>
        <w:adjustRightInd w:val="0"/>
        <w:snapToGrid w:val="0"/>
        <w:spacing w:line="580" w:lineRule="exact"/>
        <w:outlineLvl w:val="2"/>
        <w:rPr>
          <w:rFonts w:eastAsia="方正仿宋_GBK"/>
          <w:color w:val="000000"/>
          <w:kern w:val="0"/>
          <w:sz w:val="32"/>
          <w:szCs w:val="32"/>
        </w:rPr>
      </w:pPr>
      <w:r>
        <w:rPr>
          <w:rFonts w:hint="eastAsia" w:eastAsia="方正仿宋_GBK"/>
          <w:color w:val="000000"/>
          <w:kern w:val="0"/>
          <w:sz w:val="32"/>
          <w:szCs w:val="32"/>
        </w:rPr>
        <w:t>巴中市社情</w:t>
      </w:r>
      <w:r>
        <w:rPr>
          <w:rFonts w:eastAsia="方正仿宋_GBK"/>
          <w:color w:val="000000"/>
          <w:kern w:val="0"/>
          <w:sz w:val="32"/>
          <w:szCs w:val="32"/>
        </w:rPr>
        <w:t>民意调查中心</w:t>
      </w:r>
    </w:p>
    <w:p>
      <w:pPr>
        <w:numPr>
          <w:ilvl w:val="0"/>
          <w:numId w:val="1"/>
        </w:numPr>
        <w:adjustRightInd w:val="0"/>
        <w:snapToGrid w:val="0"/>
        <w:spacing w:line="580" w:lineRule="exact"/>
        <w:outlineLvl w:val="2"/>
        <w:rPr>
          <w:rFonts w:eastAsia="方正仿宋_GBK"/>
          <w:color w:val="000000"/>
          <w:kern w:val="0"/>
          <w:sz w:val="32"/>
          <w:szCs w:val="32"/>
        </w:rPr>
      </w:pPr>
      <w:r>
        <w:rPr>
          <w:rFonts w:hint="eastAsia" w:eastAsia="方正仿宋_GBK"/>
          <w:color w:val="000000"/>
          <w:kern w:val="0"/>
          <w:sz w:val="32"/>
          <w:szCs w:val="32"/>
        </w:rPr>
        <w:t>巴中市普查</w:t>
      </w:r>
      <w:r>
        <w:rPr>
          <w:rFonts w:eastAsia="方正仿宋_GBK"/>
          <w:color w:val="000000"/>
          <w:kern w:val="0"/>
          <w:sz w:val="32"/>
          <w:szCs w:val="32"/>
        </w:rPr>
        <w:t>中心</w:t>
      </w:r>
    </w:p>
    <w:p>
      <w:pPr>
        <w:numPr>
          <w:ilvl w:val="0"/>
          <w:numId w:val="1"/>
        </w:numPr>
        <w:adjustRightInd w:val="0"/>
        <w:snapToGrid w:val="0"/>
        <w:spacing w:line="580" w:lineRule="exact"/>
        <w:outlineLvl w:val="2"/>
        <w:rPr>
          <w:rFonts w:eastAsia="方正仿宋_GBK"/>
          <w:color w:val="000000"/>
          <w:kern w:val="0"/>
          <w:sz w:val="32"/>
          <w:szCs w:val="32"/>
        </w:rPr>
      </w:pPr>
      <w:r>
        <w:rPr>
          <w:rFonts w:hint="eastAsia" w:eastAsia="方正仿宋_GBK"/>
          <w:color w:val="000000"/>
          <w:kern w:val="0"/>
          <w:sz w:val="32"/>
          <w:szCs w:val="32"/>
        </w:rPr>
        <w:t>巴中市统计</w:t>
      </w:r>
      <w:r>
        <w:rPr>
          <w:rFonts w:eastAsia="方正仿宋_GBK"/>
          <w:color w:val="000000"/>
          <w:kern w:val="0"/>
          <w:sz w:val="32"/>
          <w:szCs w:val="32"/>
        </w:rPr>
        <w:t>大数据中心</w:t>
      </w:r>
    </w:p>
    <w:p>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pPr>
        <w:pStyle w:val="3"/>
        <w:ind w:right="440"/>
        <w:jc w:val="center"/>
        <w:rPr>
          <w:rStyle w:val="28"/>
          <w:rFonts w:ascii="黑体" w:hAnsi="黑体" w:eastAsia="黑体"/>
          <w:b w:val="0"/>
          <w:bCs/>
          <w:color w:val="auto"/>
          <w:highlight w:val="none"/>
        </w:rPr>
      </w:pPr>
      <w:bookmarkStart w:id="23" w:name="_Toc13386"/>
      <w:bookmarkStart w:id="24" w:name="_Toc15377204"/>
      <w:bookmarkStart w:id="25"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28"/>
          <w:rFonts w:hint="eastAsia" w:ascii="黑体" w:hAnsi="黑体" w:eastAsia="黑体"/>
          <w:b w:val="0"/>
          <w:bCs/>
          <w:color w:val="auto"/>
          <w:highlight w:val="none"/>
        </w:rPr>
        <w:t>部门决算情况说明</w:t>
      </w:r>
      <w:bookmarkEnd w:id="23"/>
      <w:bookmarkEnd w:id="24"/>
      <w:bookmarkEnd w:id="25"/>
    </w:p>
    <w:p>
      <w:pPr>
        <w:rPr>
          <w:color w:val="auto"/>
          <w:highlight w:val="none"/>
        </w:rPr>
      </w:pPr>
    </w:p>
    <w:p>
      <w:pPr>
        <w:pStyle w:val="27"/>
        <w:numPr>
          <w:ilvl w:val="0"/>
          <w:numId w:val="2"/>
        </w:numPr>
        <w:spacing w:line="600" w:lineRule="exact"/>
        <w:ind w:firstLineChars="0"/>
        <w:outlineLvl w:val="1"/>
        <w:rPr>
          <w:rStyle w:val="29"/>
          <w:rFonts w:ascii="黑体" w:hAnsi="黑体" w:eastAsia="黑体"/>
          <w:b w:val="0"/>
          <w:color w:val="auto"/>
          <w:highlight w:val="none"/>
        </w:rPr>
      </w:pPr>
      <w:bookmarkStart w:id="26" w:name="_Toc15396603"/>
      <w:bookmarkStart w:id="27" w:name="_Toc15377205"/>
      <w:bookmarkStart w:id="28" w:name="_Toc30653"/>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入支出决算总体情况说明</w:t>
      </w:r>
      <w:bookmarkEnd w:id="26"/>
      <w:bookmarkEnd w:id="27"/>
      <w:bookmarkEnd w:id="28"/>
    </w:p>
    <w:p>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880.68</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年相比，收、支总计各减少</w:t>
      </w:r>
      <w:r>
        <w:rPr>
          <w:rFonts w:hint="eastAsia" w:ascii="仿宋" w:hAnsi="仿宋" w:eastAsia="仿宋"/>
          <w:color w:val="auto"/>
          <w:sz w:val="32"/>
          <w:szCs w:val="32"/>
          <w:highlight w:val="none"/>
          <w:lang w:val="en-US" w:eastAsia="zh-CN"/>
        </w:rPr>
        <w:t>157.09</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15.14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上年度含以前年度结转资金</w:t>
      </w:r>
      <w:r>
        <w:rPr>
          <w:rFonts w:hint="eastAsia" w:ascii="仿宋" w:hAnsi="仿宋" w:eastAsia="仿宋"/>
          <w:color w:val="auto"/>
          <w:sz w:val="32"/>
          <w:szCs w:val="32"/>
          <w:highlight w:val="none"/>
          <w:lang w:val="en-US" w:eastAsia="zh-CN"/>
        </w:rPr>
        <w:t>134.56万元</w:t>
      </w:r>
      <w:r>
        <w:rPr>
          <w:rFonts w:hint="eastAsia" w:ascii="仿宋" w:hAnsi="仿宋" w:eastAsia="仿宋"/>
          <w:color w:val="auto"/>
          <w:sz w:val="32"/>
          <w:szCs w:val="32"/>
          <w:highlight w:val="none"/>
          <w:lang w:eastAsia="zh-CN"/>
        </w:rPr>
        <w:t>。</w:t>
      </w:r>
    </w:p>
    <w:p>
      <w:pPr>
        <w:pStyle w:val="6"/>
        <w:rPr>
          <w:rFonts w:hint="eastAsia" w:ascii="仿宋" w:hAnsi="仿宋" w:eastAsia="仿宋"/>
          <w:color w:val="auto"/>
          <w:sz w:val="32"/>
          <w:szCs w:val="32"/>
          <w:highlight w:val="none"/>
          <w:lang w:eastAsia="zh-CN"/>
        </w:rPr>
      </w:pPr>
      <w:r>
        <w:rPr>
          <w:rFonts w:eastAsia="方正仿宋_GBK"/>
          <w:color w:val="000000"/>
          <w:sz w:val="32"/>
          <w:szCs w:val="32"/>
        </w:rPr>
        <w:drawing>
          <wp:anchor distT="0" distB="0" distL="114300" distR="114300" simplePos="0" relativeHeight="251659264" behindDoc="0" locked="0" layoutInCell="1" allowOverlap="1">
            <wp:simplePos x="0" y="0"/>
            <wp:positionH relativeFrom="column">
              <wp:posOffset>494665</wp:posOffset>
            </wp:positionH>
            <wp:positionV relativeFrom="paragraph">
              <wp:posOffset>158750</wp:posOffset>
            </wp:positionV>
            <wp:extent cx="4419600" cy="3159125"/>
            <wp:effectExtent l="4445" t="4445" r="14605" b="17780"/>
            <wp:wrapSquare wrapText="bothSides"/>
            <wp:docPr id="4"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6"/>
        <w:rPr>
          <w:rFonts w:hint="eastAsia" w:ascii="仿宋" w:hAnsi="仿宋" w:eastAsia="仿宋"/>
          <w:color w:val="auto"/>
          <w:sz w:val="32"/>
          <w:szCs w:val="32"/>
          <w:highlight w:val="none"/>
          <w:lang w:eastAsia="zh-CN"/>
        </w:rPr>
      </w:pPr>
    </w:p>
    <w:p>
      <w:pPr>
        <w:pStyle w:val="6"/>
        <w:rPr>
          <w:rFonts w:hint="eastAsia" w:ascii="仿宋" w:hAnsi="仿宋" w:eastAsia="仿宋"/>
          <w:color w:val="auto"/>
          <w:sz w:val="32"/>
          <w:szCs w:val="32"/>
          <w:highlight w:val="none"/>
          <w:lang w:eastAsia="zh-CN"/>
        </w:rPr>
      </w:pPr>
    </w:p>
    <w:p>
      <w:pPr>
        <w:pStyle w:val="6"/>
        <w:rPr>
          <w:rFonts w:hint="eastAsia"/>
          <w:lang w:eastAsia="zh-CN"/>
        </w:rPr>
      </w:pPr>
    </w:p>
    <w:p>
      <w:pPr>
        <w:pStyle w:val="6"/>
        <w:rPr>
          <w:rFonts w:hint="eastAsia"/>
          <w:lang w:eastAsia="zh-CN"/>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rPr>
          <w:rFonts w:hint="eastAsia" w:ascii="仿宋" w:hAnsi="仿宋" w:eastAsia="仿宋"/>
          <w:color w:val="auto"/>
          <w:sz w:val="32"/>
          <w:szCs w:val="32"/>
          <w:highlight w:val="none"/>
        </w:rPr>
      </w:pPr>
    </w:p>
    <w:p>
      <w:pPr>
        <w:spacing w:line="600" w:lineRule="exact"/>
        <w:ind w:firstLine="640" w:firstLineChars="200"/>
        <w:jc w:val="center"/>
        <w:rPr>
          <w:rFonts w:ascii="仿宋_GB2312" w:eastAsia="仿宋_GB2312"/>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pPr>
        <w:pStyle w:val="27"/>
        <w:numPr>
          <w:ilvl w:val="0"/>
          <w:numId w:val="2"/>
        </w:numPr>
        <w:spacing w:line="600" w:lineRule="exact"/>
        <w:ind w:firstLineChars="0"/>
        <w:outlineLvl w:val="1"/>
        <w:rPr>
          <w:rStyle w:val="29"/>
          <w:rFonts w:ascii="黑体" w:hAnsi="黑体" w:eastAsia="黑体"/>
          <w:b w:val="0"/>
          <w:color w:val="auto"/>
          <w:highlight w:val="none"/>
        </w:rPr>
      </w:pPr>
      <w:bookmarkStart w:id="29" w:name="_Toc25008"/>
      <w:bookmarkStart w:id="30" w:name="_Toc15396604"/>
      <w:bookmarkStart w:id="31" w:name="_Toc15377206"/>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入决算情况说明</w:t>
      </w:r>
      <w:bookmarkEnd w:id="29"/>
      <w:bookmarkEnd w:id="30"/>
      <w:bookmarkEnd w:id="31"/>
    </w:p>
    <w:p>
      <w:pPr>
        <w:spacing w:line="600" w:lineRule="exact"/>
        <w:ind w:firstLine="640" w:firstLineChars="200"/>
        <w:outlineLvl w:val="1"/>
        <w:rPr>
          <w:rFonts w:hint="eastAsia" w:ascii="仿宋" w:hAnsi="仿宋" w:eastAsia="仿宋"/>
          <w:color w:val="auto"/>
          <w:sz w:val="32"/>
          <w:szCs w:val="32"/>
          <w:highlight w:val="none"/>
        </w:rPr>
      </w:pPr>
      <w:bookmarkStart w:id="32" w:name="_Toc4707"/>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860.68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860.68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2"/>
    </w:p>
    <w:p>
      <w:pPr>
        <w:pStyle w:val="6"/>
        <w:jc w:val="center"/>
        <w:rPr>
          <w:rFonts w:ascii="仿宋" w:hAnsi="仿宋" w:eastAsia="仿宋"/>
          <w:color w:val="auto"/>
          <w:sz w:val="32"/>
          <w:szCs w:val="32"/>
          <w:highlight w:val="none"/>
        </w:rPr>
      </w:pPr>
      <w:r>
        <w:rPr>
          <w:rFonts w:eastAsia="方正仿宋_GBK"/>
          <w:color w:val="000000"/>
          <w:sz w:val="32"/>
          <w:szCs w:val="32"/>
        </w:rPr>
        <w:drawing>
          <wp:inline distT="0" distB="0" distL="0" distR="0">
            <wp:extent cx="4241165" cy="2824480"/>
            <wp:effectExtent l="0" t="0" r="0" b="0"/>
            <wp:docPr id="6"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jc w:val="center"/>
        <w:rPr>
          <w:rFonts w:ascii="仿宋_GB2312" w:eastAsia="仿宋_GB2312"/>
          <w:color w:val="auto"/>
          <w:sz w:val="32"/>
          <w:szCs w:val="32"/>
          <w:highlight w:val="none"/>
        </w:rPr>
      </w:pPr>
      <w:r>
        <w:rPr>
          <w:rFonts w:hint="eastAsia" w:ascii="仿宋" w:hAnsi="仿宋" w:eastAsia="仿宋"/>
          <w:color w:val="auto"/>
          <w:sz w:val="32"/>
          <w:szCs w:val="32"/>
          <w:highlight w:val="none"/>
        </w:rPr>
        <w:t>（图2：收入决算结构图）</w:t>
      </w:r>
    </w:p>
    <w:p>
      <w:pPr>
        <w:pStyle w:val="27"/>
        <w:numPr>
          <w:ilvl w:val="0"/>
          <w:numId w:val="2"/>
        </w:numPr>
        <w:spacing w:line="600" w:lineRule="exact"/>
        <w:ind w:firstLineChars="0"/>
        <w:outlineLvl w:val="1"/>
        <w:rPr>
          <w:rStyle w:val="29"/>
          <w:rFonts w:ascii="黑体" w:hAnsi="黑体" w:eastAsia="黑体"/>
          <w:b w:val="0"/>
          <w:color w:val="auto"/>
          <w:highlight w:val="none"/>
        </w:rPr>
      </w:pPr>
      <w:bookmarkStart w:id="33" w:name="_Toc15377207"/>
      <w:bookmarkStart w:id="34" w:name="_Toc15396605"/>
      <w:bookmarkStart w:id="35" w:name="_Toc834"/>
      <w:r>
        <w:rPr>
          <w:rFonts w:hint="eastAsia" w:ascii="黑体" w:hAnsi="黑体" w:eastAsia="黑体"/>
          <w:color w:val="auto"/>
          <w:sz w:val="32"/>
          <w:szCs w:val="32"/>
          <w:highlight w:val="none"/>
        </w:rPr>
        <w:t>支</w:t>
      </w:r>
      <w:r>
        <w:rPr>
          <w:rStyle w:val="29"/>
          <w:rFonts w:hint="eastAsia" w:ascii="黑体" w:hAnsi="黑体" w:eastAsia="黑体"/>
          <w:b w:val="0"/>
          <w:color w:val="auto"/>
          <w:highlight w:val="none"/>
        </w:rPr>
        <w:t>出决算情况说明</w:t>
      </w:r>
      <w:bookmarkEnd w:id="33"/>
      <w:bookmarkEnd w:id="34"/>
      <w:bookmarkEnd w:id="35"/>
    </w:p>
    <w:p>
      <w:pPr>
        <w:spacing w:line="600" w:lineRule="exact"/>
        <w:ind w:firstLine="640" w:firstLineChars="200"/>
        <w:outlineLvl w:val="1"/>
        <w:rPr>
          <w:rFonts w:hint="eastAsia" w:ascii="仿宋" w:hAnsi="仿宋" w:eastAsia="仿宋"/>
          <w:color w:val="auto"/>
          <w:sz w:val="32"/>
          <w:szCs w:val="32"/>
          <w:highlight w:val="none"/>
        </w:rPr>
      </w:pPr>
      <w:bookmarkStart w:id="36" w:name="_Toc10582"/>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880.68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750.65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85.24</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130.03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14.76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6"/>
    </w:p>
    <w:p>
      <w:pPr>
        <w:pStyle w:val="6"/>
        <w:jc w:val="center"/>
        <w:rPr>
          <w:rFonts w:ascii="仿宋" w:hAnsi="仿宋" w:eastAsia="仿宋"/>
          <w:color w:val="auto"/>
          <w:sz w:val="32"/>
          <w:szCs w:val="32"/>
          <w:highlight w:val="none"/>
          <w:shd w:val="pct10" w:color="auto" w:fill="FFFFFF"/>
        </w:rPr>
      </w:pPr>
      <w:r>
        <w:rPr>
          <w:rFonts w:eastAsia="方正仿宋_GBK"/>
          <w:color w:val="000000"/>
          <w:sz w:val="32"/>
          <w:szCs w:val="32"/>
        </w:rPr>
        <w:drawing>
          <wp:inline distT="0" distB="0" distL="0" distR="0">
            <wp:extent cx="4634865" cy="2893060"/>
            <wp:effectExtent l="4445" t="4445" r="8890" b="17145"/>
            <wp:docPr id="3"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jc w:val="center"/>
        <w:rPr>
          <w:rFonts w:ascii="仿宋_GB2312" w:eastAsia="仿宋_GB2312"/>
          <w:color w:val="auto"/>
          <w:sz w:val="32"/>
          <w:szCs w:val="32"/>
          <w:highlight w:val="none"/>
        </w:rPr>
      </w:pPr>
      <w:r>
        <w:rPr>
          <w:rFonts w:hint="eastAsia" w:ascii="仿宋" w:hAnsi="仿宋" w:eastAsia="仿宋"/>
          <w:color w:val="auto"/>
          <w:sz w:val="32"/>
          <w:szCs w:val="32"/>
          <w:highlight w:val="none"/>
        </w:rPr>
        <w:t>（图3：支出决算结构图）</w:t>
      </w:r>
    </w:p>
    <w:p>
      <w:pPr>
        <w:spacing w:line="600" w:lineRule="exact"/>
        <w:ind w:firstLine="640" w:firstLineChars="200"/>
        <w:outlineLvl w:val="1"/>
        <w:rPr>
          <w:rStyle w:val="29"/>
          <w:rFonts w:ascii="黑体" w:hAnsi="黑体" w:eastAsia="黑体"/>
          <w:b w:val="0"/>
          <w:color w:val="auto"/>
          <w:highlight w:val="none"/>
        </w:rPr>
      </w:pPr>
      <w:bookmarkStart w:id="37" w:name="_Toc15377208"/>
      <w:bookmarkStart w:id="38" w:name="_Toc11972"/>
      <w:bookmarkStart w:id="39" w:name="_Toc15396606"/>
      <w:r>
        <w:rPr>
          <w:rFonts w:hint="eastAsia" w:ascii="黑体" w:hAnsi="黑体" w:eastAsia="黑体"/>
          <w:color w:val="auto"/>
          <w:sz w:val="32"/>
          <w:szCs w:val="32"/>
          <w:highlight w:val="none"/>
        </w:rPr>
        <w:t>四、财</w:t>
      </w:r>
      <w:r>
        <w:rPr>
          <w:rStyle w:val="29"/>
          <w:rFonts w:hint="eastAsia" w:ascii="黑体" w:hAnsi="黑体" w:eastAsia="黑体"/>
          <w:b w:val="0"/>
          <w:color w:val="auto"/>
          <w:highlight w:val="none"/>
        </w:rPr>
        <w:t>政拨款收入支出决算总体情况说明</w:t>
      </w:r>
      <w:bookmarkEnd w:id="37"/>
      <w:bookmarkEnd w:id="38"/>
      <w:bookmarkEnd w:id="39"/>
    </w:p>
    <w:p>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880.68</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w:t>
      </w:r>
      <w:r>
        <w:rPr>
          <w:rFonts w:eastAsia="方正仿宋_GBK"/>
          <w:color w:val="000000"/>
          <w:sz w:val="32"/>
          <w:szCs w:val="32"/>
        </w:rPr>
        <w:drawing>
          <wp:anchor distT="0" distB="0" distL="114300" distR="114300" simplePos="0" relativeHeight="251660288" behindDoc="0" locked="0" layoutInCell="1" allowOverlap="1">
            <wp:simplePos x="0" y="0"/>
            <wp:positionH relativeFrom="column">
              <wp:posOffset>255905</wp:posOffset>
            </wp:positionH>
            <wp:positionV relativeFrom="paragraph">
              <wp:posOffset>940435</wp:posOffset>
            </wp:positionV>
            <wp:extent cx="4419600" cy="3159125"/>
            <wp:effectExtent l="4445" t="4445" r="14605" b="17780"/>
            <wp:wrapTopAndBottom/>
            <wp:docPr id="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color w:val="auto"/>
          <w:sz w:val="32"/>
          <w:szCs w:val="32"/>
          <w:highlight w:val="none"/>
        </w:rPr>
        <w:t>比，收、支总计各减少</w:t>
      </w:r>
      <w:r>
        <w:rPr>
          <w:rFonts w:hint="eastAsia" w:ascii="仿宋" w:hAnsi="仿宋" w:eastAsia="仿宋"/>
          <w:color w:val="auto"/>
          <w:sz w:val="32"/>
          <w:szCs w:val="32"/>
          <w:highlight w:val="none"/>
          <w:lang w:val="en-US" w:eastAsia="zh-CN"/>
        </w:rPr>
        <w:t>157.09</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15.14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上年度含以前年度结转资金</w:t>
      </w:r>
      <w:r>
        <w:rPr>
          <w:rFonts w:hint="eastAsia" w:ascii="仿宋" w:hAnsi="仿宋" w:eastAsia="仿宋"/>
          <w:color w:val="auto"/>
          <w:sz w:val="32"/>
          <w:szCs w:val="32"/>
          <w:highlight w:val="none"/>
          <w:lang w:val="en-US" w:eastAsia="zh-CN"/>
        </w:rPr>
        <w:t>134.56万元</w:t>
      </w:r>
      <w:r>
        <w:rPr>
          <w:rFonts w:hint="eastAsia" w:ascii="仿宋" w:hAnsi="仿宋" w:eastAsia="仿宋"/>
          <w:color w:val="auto"/>
          <w:sz w:val="32"/>
          <w:szCs w:val="32"/>
          <w:highlight w:val="none"/>
          <w:lang w:eastAsia="zh-CN"/>
        </w:rPr>
        <w:t>。</w:t>
      </w:r>
    </w:p>
    <w:p>
      <w:pPr>
        <w:spacing w:line="600" w:lineRule="exact"/>
        <w:ind w:firstLine="640" w:firstLineChars="200"/>
        <w:rPr>
          <w:rFonts w:ascii="仿宋" w:hAnsi="仿宋" w:eastAsia="仿宋"/>
          <w:b/>
          <w:color w:val="auto"/>
          <w:sz w:val="32"/>
          <w:szCs w:val="32"/>
          <w:highlight w:val="none"/>
        </w:rPr>
      </w:pPr>
      <w:r>
        <w:rPr>
          <w:rFonts w:hint="eastAsia" w:ascii="仿宋" w:hAnsi="仿宋" w:eastAsia="仿宋"/>
          <w:color w:val="auto"/>
          <w:sz w:val="32"/>
          <w:szCs w:val="32"/>
          <w:highlight w:val="none"/>
        </w:rPr>
        <w:t>（图4：财政拨款收、支决算总计变动情况）</w:t>
      </w:r>
    </w:p>
    <w:p>
      <w:pPr>
        <w:spacing w:line="600" w:lineRule="exact"/>
        <w:ind w:firstLine="640" w:firstLineChars="200"/>
        <w:outlineLvl w:val="1"/>
        <w:rPr>
          <w:rStyle w:val="29"/>
          <w:rFonts w:ascii="黑体" w:hAnsi="黑体" w:eastAsia="黑体"/>
          <w:b w:val="0"/>
          <w:color w:val="auto"/>
          <w:highlight w:val="none"/>
        </w:rPr>
      </w:pPr>
      <w:bookmarkStart w:id="40" w:name="_Toc15377209"/>
      <w:bookmarkStart w:id="41" w:name="_Toc6906"/>
      <w:bookmarkStart w:id="42"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般公共预算财政拨款支出决算情况说明</w:t>
      </w:r>
      <w:bookmarkEnd w:id="40"/>
      <w:bookmarkEnd w:id="41"/>
      <w:bookmarkEnd w:id="42"/>
    </w:p>
    <w:p>
      <w:pPr>
        <w:spacing w:line="600" w:lineRule="exact"/>
        <w:ind w:firstLine="643" w:firstLineChars="200"/>
        <w:outlineLvl w:val="2"/>
        <w:rPr>
          <w:rFonts w:ascii="仿宋" w:hAnsi="仿宋" w:eastAsia="仿宋"/>
          <w:b/>
          <w:color w:val="auto"/>
          <w:sz w:val="32"/>
          <w:szCs w:val="32"/>
          <w:highlight w:val="none"/>
        </w:rPr>
      </w:pPr>
      <w:bookmarkStart w:id="43" w:name="_Toc15377210"/>
      <w:r>
        <w:rPr>
          <w:rFonts w:hint="eastAsia" w:ascii="仿宋" w:hAnsi="仿宋" w:eastAsia="仿宋"/>
          <w:b/>
          <w:color w:val="auto"/>
          <w:sz w:val="32"/>
          <w:szCs w:val="32"/>
          <w:highlight w:val="none"/>
        </w:rPr>
        <w:t>（一）一般公共预算财政拨款支出决算总体情况</w:t>
      </w:r>
      <w:bookmarkEnd w:id="43"/>
    </w:p>
    <w:p>
      <w:pPr>
        <w:spacing w:line="60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880.68</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增减少</w:t>
      </w:r>
      <w:r>
        <w:rPr>
          <w:rFonts w:hint="eastAsia" w:ascii="仿宋" w:hAnsi="仿宋" w:eastAsia="仿宋"/>
          <w:color w:val="auto"/>
          <w:sz w:val="32"/>
          <w:szCs w:val="32"/>
          <w:highlight w:val="none"/>
          <w:lang w:val="en-US" w:eastAsia="zh-CN"/>
        </w:rPr>
        <w:t>22.53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2.49</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本年度项目支出较上年度减少。</w:t>
      </w:r>
    </w:p>
    <w:p>
      <w:pPr>
        <w:pStyle w:val="6"/>
        <w:jc w:val="center"/>
        <w:rPr>
          <w:rFonts w:hint="eastAsia"/>
          <w:lang w:eastAsia="zh-CN"/>
        </w:rPr>
      </w:pPr>
      <w:r>
        <w:rPr>
          <w:rFonts w:eastAsia="方正仿宋_GBK"/>
          <w:color w:val="000000"/>
          <w:sz w:val="32"/>
          <w:szCs w:val="32"/>
        </w:rPr>
        <w:drawing>
          <wp:inline distT="0" distB="0" distL="0" distR="0">
            <wp:extent cx="4476750" cy="2997835"/>
            <wp:effectExtent l="4445" t="4445" r="14605" b="7620"/>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w:t>
      </w:r>
    </w:p>
    <w:p>
      <w:pPr>
        <w:spacing w:line="600" w:lineRule="exact"/>
        <w:ind w:firstLine="643" w:firstLineChars="200"/>
        <w:outlineLvl w:val="2"/>
        <w:rPr>
          <w:rFonts w:ascii="仿宋" w:hAnsi="仿宋" w:eastAsia="仿宋"/>
          <w:b/>
          <w:color w:val="auto"/>
          <w:sz w:val="32"/>
          <w:szCs w:val="32"/>
          <w:highlight w:val="none"/>
        </w:rPr>
      </w:pPr>
      <w:bookmarkStart w:id="44" w:name="_Toc15377211"/>
      <w:r>
        <w:rPr>
          <w:rFonts w:hint="eastAsia" w:ascii="仿宋" w:hAnsi="仿宋" w:eastAsia="仿宋"/>
          <w:b/>
          <w:color w:val="auto"/>
          <w:sz w:val="32"/>
          <w:szCs w:val="32"/>
          <w:highlight w:val="none"/>
        </w:rPr>
        <w:t>（二）一般公共预算财政拨款支出决算结构情况</w:t>
      </w:r>
      <w:bookmarkEnd w:id="44"/>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880.68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734.19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83.37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62.20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7.06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31.50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3.58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52.79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5.99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641"/>
        <w:textAlignment w:val="auto"/>
        <w:rPr>
          <w:rFonts w:ascii="仿宋" w:hAnsi="仿宋" w:eastAsia="仿宋"/>
          <w:color w:val="auto"/>
          <w:sz w:val="32"/>
          <w:szCs w:val="32"/>
          <w:highlight w:val="none"/>
        </w:rPr>
      </w:pPr>
      <w:r>
        <w:rPr>
          <w:rFonts w:eastAsia="方正仿宋_GBK"/>
          <w:color w:val="000000"/>
          <w:sz w:val="32"/>
          <w:szCs w:val="32"/>
        </w:rPr>
        <w:drawing>
          <wp:inline distT="0" distB="0" distL="0" distR="0">
            <wp:extent cx="4670425" cy="3261995"/>
            <wp:effectExtent l="4445" t="4445" r="11430" b="10160"/>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w:t>
      </w:r>
    </w:p>
    <w:p>
      <w:pPr>
        <w:spacing w:line="600" w:lineRule="exact"/>
        <w:ind w:firstLine="643" w:firstLineChars="200"/>
        <w:outlineLvl w:val="2"/>
        <w:rPr>
          <w:rFonts w:ascii="仿宋" w:hAnsi="仿宋" w:eastAsia="仿宋"/>
          <w:b/>
          <w:color w:val="auto"/>
          <w:sz w:val="32"/>
          <w:szCs w:val="32"/>
          <w:highlight w:val="none"/>
        </w:rPr>
      </w:pPr>
      <w:bookmarkStart w:id="45" w:name="_Toc15377212"/>
      <w:r>
        <w:rPr>
          <w:rFonts w:hint="eastAsia" w:ascii="仿宋" w:hAnsi="仿宋" w:eastAsia="仿宋"/>
          <w:b/>
          <w:color w:val="auto"/>
          <w:sz w:val="32"/>
          <w:szCs w:val="32"/>
          <w:highlight w:val="none"/>
        </w:rPr>
        <w:t>（三）一般公共预算财政拨款支出决算具体情况</w:t>
      </w:r>
      <w:bookmarkEnd w:id="45"/>
    </w:p>
    <w:p>
      <w:pPr>
        <w:spacing w:line="600" w:lineRule="exact"/>
        <w:ind w:firstLine="643" w:firstLineChars="200"/>
        <w:outlineLvl w:val="1"/>
        <w:rPr>
          <w:rStyle w:val="17"/>
          <w:rFonts w:hint="eastAsia" w:ascii="仿宋" w:hAnsi="仿宋" w:eastAsia="仿宋"/>
          <w:bCs/>
          <w:color w:val="auto"/>
          <w:sz w:val="32"/>
          <w:szCs w:val="32"/>
          <w:highlight w:val="none"/>
        </w:rPr>
      </w:pPr>
      <w:bookmarkStart w:id="46" w:name="_Toc15377213"/>
      <w:bookmarkStart w:id="47" w:name="_Toc15377444"/>
      <w:bookmarkStart w:id="48" w:name="_Toc15378460"/>
      <w:bookmarkStart w:id="49" w:name="_Toc31347"/>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880.68</w:t>
      </w:r>
      <w:r>
        <w:rPr>
          <w:rFonts w:hint="eastAsia" w:ascii="仿宋" w:hAnsi="仿宋" w:eastAsia="仿宋"/>
          <w:color w:val="auto"/>
          <w:sz w:val="32"/>
          <w:szCs w:val="32"/>
          <w:highlight w:val="none"/>
        </w:rPr>
        <w:t>，</w:t>
      </w:r>
      <w:r>
        <w:rPr>
          <w:rStyle w:val="17"/>
          <w:rFonts w:hint="eastAsia" w:ascii="仿宋" w:hAnsi="仿宋" w:eastAsia="仿宋"/>
          <w:bCs/>
          <w:color w:val="auto"/>
          <w:sz w:val="32"/>
          <w:szCs w:val="32"/>
          <w:highlight w:val="none"/>
        </w:rPr>
        <w:t>完成预算</w:t>
      </w:r>
      <w:r>
        <w:rPr>
          <w:rStyle w:val="17"/>
          <w:rFonts w:hint="eastAsia" w:ascii="仿宋" w:hAnsi="仿宋" w:eastAsia="仿宋"/>
          <w:bCs/>
          <w:color w:val="auto"/>
          <w:sz w:val="32"/>
          <w:szCs w:val="32"/>
          <w:highlight w:val="none"/>
          <w:lang w:val="en-US" w:eastAsia="zh-CN"/>
        </w:rPr>
        <w:t>100</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。其中：</w:t>
      </w:r>
      <w:bookmarkEnd w:id="46"/>
      <w:bookmarkEnd w:id="47"/>
      <w:bookmarkEnd w:id="48"/>
      <w:bookmarkEnd w:id="49"/>
    </w:p>
    <w:p>
      <w:pPr>
        <w:spacing w:line="600" w:lineRule="exact"/>
        <w:ind w:firstLine="643" w:firstLineChars="200"/>
        <w:rPr>
          <w:rStyle w:val="17"/>
          <w:rFonts w:ascii="仿宋" w:hAnsi="仿宋" w:eastAsia="仿宋"/>
          <w:b w:val="0"/>
          <w:bCs/>
          <w:sz w:val="32"/>
          <w:szCs w:val="32"/>
        </w:rPr>
      </w:pPr>
      <w:r>
        <w:rPr>
          <w:rStyle w:val="17"/>
          <w:rFonts w:ascii="仿宋" w:hAnsi="仿宋" w:eastAsia="仿宋"/>
          <w:bCs/>
          <w:sz w:val="32"/>
          <w:szCs w:val="32"/>
        </w:rPr>
        <w:t>1.</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（款）行政</w:t>
      </w:r>
      <w:r>
        <w:rPr>
          <w:rStyle w:val="17"/>
          <w:rFonts w:ascii="仿宋" w:hAnsi="仿宋" w:eastAsia="仿宋"/>
          <w:bCs/>
          <w:sz w:val="32"/>
          <w:szCs w:val="32"/>
        </w:rPr>
        <w:t>运行</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542.77</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r>
        <w:rPr>
          <w:rStyle w:val="17"/>
          <w:rFonts w:hint="eastAsia" w:ascii="仿宋" w:hAnsi="仿宋" w:eastAsia="仿宋"/>
          <w:b w:val="0"/>
          <w:bCs/>
          <w:sz w:val="32"/>
          <w:szCs w:val="32"/>
        </w:rPr>
        <w:t>决算数等于预算数。</w:t>
      </w:r>
    </w:p>
    <w:p>
      <w:pPr>
        <w:spacing w:line="600" w:lineRule="exact"/>
        <w:ind w:firstLine="643" w:firstLineChars="200"/>
        <w:rPr>
          <w:rFonts w:hint="eastAsia" w:eastAsia="仿宋"/>
          <w:bCs/>
          <w:color w:val="000000"/>
          <w:sz w:val="32"/>
          <w:szCs w:val="32"/>
          <w:lang w:eastAsia="zh-CN"/>
        </w:rPr>
      </w:pPr>
      <w:r>
        <w:rPr>
          <w:rStyle w:val="17"/>
          <w:rFonts w:ascii="仿宋" w:hAnsi="仿宋" w:eastAsia="仿宋"/>
          <w:bCs/>
          <w:sz w:val="32"/>
          <w:szCs w:val="32"/>
        </w:rPr>
        <w:t>2.</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（款）一般行政</w:t>
      </w:r>
      <w:r>
        <w:rPr>
          <w:rStyle w:val="17"/>
          <w:rFonts w:ascii="仿宋" w:hAnsi="仿宋" w:eastAsia="仿宋"/>
          <w:bCs/>
          <w:sz w:val="32"/>
          <w:szCs w:val="32"/>
        </w:rPr>
        <w:t>管理事务</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15.96</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Fonts w:hint="eastAsia" w:eastAsia="方正仿宋_GBK"/>
          <w:bCs/>
          <w:color w:val="000000"/>
          <w:sz w:val="32"/>
          <w:szCs w:val="32"/>
          <w:lang w:eastAsia="zh-CN"/>
        </w:rPr>
        <w:t>，</w:t>
      </w:r>
      <w:r>
        <w:rPr>
          <w:rStyle w:val="17"/>
          <w:rFonts w:hint="eastAsia" w:ascii="仿宋" w:hAnsi="仿宋" w:eastAsia="仿宋"/>
          <w:b w:val="0"/>
          <w:bCs/>
          <w:sz w:val="32"/>
          <w:szCs w:val="32"/>
        </w:rPr>
        <w:t>决算数等于预算数。</w:t>
      </w:r>
    </w:p>
    <w:p>
      <w:pPr>
        <w:pStyle w:val="6"/>
        <w:spacing w:before="93"/>
        <w:ind w:firstLine="643" w:firstLineChars="200"/>
        <w:rPr>
          <w:rFonts w:hint="eastAsia" w:eastAsia="仿宋"/>
          <w:lang w:eastAsia="zh-CN"/>
        </w:rPr>
      </w:pPr>
      <w:r>
        <w:rPr>
          <w:rStyle w:val="17"/>
          <w:rFonts w:hint="eastAsia" w:ascii="仿宋" w:hAnsi="仿宋" w:eastAsia="仿宋"/>
          <w:bCs/>
          <w:sz w:val="32"/>
          <w:szCs w:val="32"/>
          <w:lang w:val="en-US" w:eastAsia="zh-CN"/>
        </w:rPr>
        <w:t>3</w:t>
      </w:r>
      <w:r>
        <w:rPr>
          <w:rStyle w:val="17"/>
          <w:rFonts w:ascii="仿宋" w:hAnsi="仿宋" w:eastAsia="仿宋"/>
          <w:bCs/>
          <w:sz w:val="32"/>
          <w:szCs w:val="32"/>
        </w:rPr>
        <w:t>.</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（款）专项统计</w:t>
      </w:r>
      <w:r>
        <w:rPr>
          <w:rStyle w:val="17"/>
          <w:rFonts w:ascii="仿宋" w:hAnsi="仿宋" w:eastAsia="仿宋"/>
          <w:bCs/>
          <w:sz w:val="32"/>
          <w:szCs w:val="32"/>
        </w:rPr>
        <w:t>业务</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20.00</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Fonts w:hint="eastAsia" w:eastAsia="方正仿宋_GBK"/>
          <w:bCs/>
          <w:color w:val="000000"/>
          <w:sz w:val="32"/>
          <w:szCs w:val="32"/>
          <w:lang w:eastAsia="zh-CN"/>
        </w:rPr>
        <w:t>，</w:t>
      </w:r>
      <w:r>
        <w:rPr>
          <w:rStyle w:val="17"/>
          <w:rFonts w:hint="eastAsia" w:ascii="仿宋" w:hAnsi="仿宋" w:eastAsia="仿宋"/>
          <w:b w:val="0"/>
          <w:bCs/>
          <w:sz w:val="32"/>
          <w:szCs w:val="32"/>
        </w:rPr>
        <w:t>决算数等于预算数。</w:t>
      </w:r>
    </w:p>
    <w:p>
      <w:pPr>
        <w:pStyle w:val="6"/>
        <w:spacing w:before="93"/>
        <w:ind w:firstLine="643" w:firstLineChars="200"/>
        <w:rPr>
          <w:rFonts w:hint="eastAsia" w:eastAsia="仿宋"/>
          <w:bCs/>
          <w:color w:val="000000"/>
          <w:sz w:val="32"/>
          <w:szCs w:val="32"/>
          <w:lang w:eastAsia="zh-CN"/>
        </w:rPr>
      </w:pPr>
      <w:r>
        <w:rPr>
          <w:rStyle w:val="17"/>
          <w:rFonts w:hint="eastAsia" w:ascii="仿宋" w:hAnsi="仿宋" w:eastAsia="仿宋"/>
          <w:bCs/>
          <w:sz w:val="32"/>
          <w:szCs w:val="32"/>
          <w:lang w:val="en-US" w:eastAsia="zh-CN"/>
        </w:rPr>
        <w:t>4</w:t>
      </w:r>
      <w:r>
        <w:rPr>
          <w:rStyle w:val="17"/>
          <w:rFonts w:ascii="仿宋" w:hAnsi="仿宋" w:eastAsia="仿宋"/>
          <w:bCs/>
          <w:sz w:val="32"/>
          <w:szCs w:val="32"/>
        </w:rPr>
        <w:t>.</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（款）专项普查</w:t>
      </w:r>
      <w:r>
        <w:rPr>
          <w:rStyle w:val="17"/>
          <w:rFonts w:ascii="仿宋" w:hAnsi="仿宋" w:eastAsia="仿宋"/>
          <w:bCs/>
          <w:sz w:val="32"/>
          <w:szCs w:val="32"/>
        </w:rPr>
        <w:t>活动</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57.07</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Fonts w:hint="eastAsia" w:eastAsia="方正仿宋_GBK"/>
          <w:bCs/>
          <w:color w:val="000000"/>
          <w:sz w:val="32"/>
          <w:szCs w:val="32"/>
          <w:lang w:eastAsia="zh-CN"/>
        </w:rPr>
        <w:t>，</w:t>
      </w:r>
      <w:r>
        <w:rPr>
          <w:rStyle w:val="17"/>
          <w:rFonts w:hint="eastAsia" w:ascii="仿宋" w:hAnsi="仿宋" w:eastAsia="仿宋"/>
          <w:b w:val="0"/>
          <w:bCs/>
          <w:sz w:val="32"/>
          <w:szCs w:val="32"/>
        </w:rPr>
        <w:t>决算数等于预算数。</w:t>
      </w:r>
    </w:p>
    <w:p>
      <w:pPr>
        <w:pStyle w:val="6"/>
        <w:spacing w:before="93"/>
        <w:ind w:firstLine="643" w:firstLineChars="200"/>
        <w:rPr>
          <w:rFonts w:hint="eastAsia" w:eastAsia="仿宋"/>
          <w:bCs/>
          <w:color w:val="000000"/>
          <w:sz w:val="32"/>
          <w:szCs w:val="32"/>
          <w:lang w:eastAsia="zh-CN"/>
        </w:rPr>
      </w:pPr>
      <w:r>
        <w:rPr>
          <w:rStyle w:val="17"/>
          <w:rFonts w:hint="eastAsia" w:ascii="仿宋" w:hAnsi="仿宋" w:eastAsia="仿宋"/>
          <w:bCs/>
          <w:sz w:val="32"/>
          <w:szCs w:val="32"/>
          <w:lang w:val="en-US" w:eastAsia="zh-CN"/>
        </w:rPr>
        <w:t>5</w:t>
      </w:r>
      <w:r>
        <w:rPr>
          <w:rStyle w:val="17"/>
          <w:rFonts w:ascii="仿宋" w:hAnsi="仿宋" w:eastAsia="仿宋"/>
          <w:bCs/>
          <w:sz w:val="32"/>
          <w:szCs w:val="32"/>
        </w:rPr>
        <w:t>.</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（款）统计抽样</w:t>
      </w:r>
      <w:r>
        <w:rPr>
          <w:rStyle w:val="17"/>
          <w:rFonts w:ascii="仿宋" w:hAnsi="仿宋" w:eastAsia="仿宋"/>
          <w:bCs/>
          <w:sz w:val="32"/>
          <w:szCs w:val="32"/>
        </w:rPr>
        <w:t>调查</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32</w:t>
      </w:r>
      <w:r>
        <w:rPr>
          <w:rStyle w:val="17"/>
          <w:rFonts w:ascii="仿宋" w:hAnsi="仿宋" w:eastAsia="仿宋"/>
          <w:b w:val="0"/>
          <w:bCs/>
          <w:sz w:val="32"/>
          <w:szCs w:val="32"/>
        </w:rPr>
        <w:t>.00</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Fonts w:hint="eastAsia" w:eastAsia="方正仿宋_GBK"/>
          <w:bCs/>
          <w:color w:val="000000"/>
          <w:sz w:val="32"/>
          <w:szCs w:val="32"/>
          <w:lang w:eastAsia="zh-CN"/>
        </w:rPr>
        <w:t>，</w:t>
      </w:r>
      <w:r>
        <w:rPr>
          <w:rStyle w:val="17"/>
          <w:rFonts w:hint="eastAsia" w:ascii="仿宋" w:hAnsi="仿宋" w:eastAsia="仿宋"/>
          <w:b w:val="0"/>
          <w:bCs/>
          <w:sz w:val="32"/>
          <w:szCs w:val="32"/>
        </w:rPr>
        <w:t>决算数等于预算数。</w:t>
      </w:r>
    </w:p>
    <w:p>
      <w:pPr>
        <w:pStyle w:val="6"/>
        <w:spacing w:before="93"/>
        <w:ind w:firstLine="643" w:firstLineChars="200"/>
        <w:rPr>
          <w:rFonts w:hint="eastAsia" w:eastAsia="仿宋"/>
          <w:bCs/>
          <w:color w:val="000000"/>
          <w:sz w:val="32"/>
          <w:szCs w:val="32"/>
          <w:lang w:eastAsia="zh-CN"/>
        </w:rPr>
      </w:pPr>
      <w:r>
        <w:rPr>
          <w:rStyle w:val="17"/>
          <w:rFonts w:hint="eastAsia" w:ascii="仿宋" w:hAnsi="仿宋" w:eastAsia="仿宋"/>
          <w:bCs/>
          <w:sz w:val="32"/>
          <w:szCs w:val="32"/>
          <w:lang w:val="en-US" w:eastAsia="zh-CN"/>
        </w:rPr>
        <w:t>6</w:t>
      </w:r>
      <w:r>
        <w:rPr>
          <w:rStyle w:val="17"/>
          <w:rFonts w:ascii="仿宋" w:hAnsi="仿宋" w:eastAsia="仿宋"/>
          <w:bCs/>
          <w:sz w:val="32"/>
          <w:szCs w:val="32"/>
        </w:rPr>
        <w:t>.</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（款）事业运行</w:t>
      </w:r>
      <w:r>
        <w:rPr>
          <w:rStyle w:val="17"/>
          <w:rFonts w:ascii="仿宋" w:hAnsi="仿宋" w:eastAsia="仿宋"/>
          <w:bCs/>
          <w:sz w:val="32"/>
          <w:szCs w:val="32"/>
        </w:rPr>
        <w:t>（</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61.39</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Fonts w:hint="eastAsia" w:eastAsia="方正仿宋_GBK"/>
          <w:bCs/>
          <w:color w:val="000000"/>
          <w:sz w:val="32"/>
          <w:szCs w:val="32"/>
          <w:lang w:eastAsia="zh-CN"/>
        </w:rPr>
        <w:t>，</w:t>
      </w:r>
      <w:r>
        <w:rPr>
          <w:rStyle w:val="17"/>
          <w:rFonts w:hint="eastAsia" w:ascii="仿宋" w:hAnsi="仿宋" w:eastAsia="仿宋"/>
          <w:b w:val="0"/>
          <w:bCs/>
          <w:sz w:val="32"/>
          <w:szCs w:val="32"/>
        </w:rPr>
        <w:t>决算数等于预算数。</w:t>
      </w:r>
    </w:p>
    <w:p>
      <w:pPr>
        <w:pStyle w:val="6"/>
        <w:spacing w:before="93"/>
        <w:ind w:firstLine="643" w:firstLineChars="200"/>
        <w:rPr>
          <w:rFonts w:eastAsia="方正仿宋_GBK"/>
          <w:bCs/>
          <w:color w:val="000000"/>
          <w:sz w:val="32"/>
          <w:szCs w:val="32"/>
        </w:rPr>
      </w:pPr>
      <w:r>
        <w:rPr>
          <w:rStyle w:val="17"/>
          <w:rFonts w:hint="eastAsia" w:ascii="仿宋" w:hAnsi="仿宋" w:eastAsia="仿宋"/>
          <w:bCs/>
          <w:sz w:val="32"/>
          <w:szCs w:val="32"/>
          <w:lang w:val="en-US" w:eastAsia="zh-CN"/>
        </w:rPr>
        <w:t>7</w:t>
      </w:r>
      <w:r>
        <w:rPr>
          <w:rStyle w:val="17"/>
          <w:rFonts w:ascii="仿宋" w:hAnsi="仿宋" w:eastAsia="仿宋"/>
          <w:bCs/>
          <w:sz w:val="32"/>
          <w:szCs w:val="32"/>
        </w:rPr>
        <w:t>.</w:t>
      </w:r>
      <w:r>
        <w:rPr>
          <w:rStyle w:val="17"/>
          <w:rFonts w:hint="eastAsia" w:ascii="仿宋" w:hAnsi="仿宋" w:eastAsia="仿宋"/>
          <w:bCs/>
          <w:sz w:val="32"/>
          <w:szCs w:val="32"/>
        </w:rPr>
        <w:t>一般公共服务（类）统计信息</w:t>
      </w:r>
      <w:r>
        <w:rPr>
          <w:rStyle w:val="17"/>
          <w:rFonts w:ascii="仿宋" w:hAnsi="仿宋" w:eastAsia="仿宋"/>
          <w:bCs/>
          <w:sz w:val="32"/>
          <w:szCs w:val="32"/>
        </w:rPr>
        <w:t>事务</w:t>
      </w:r>
      <w:r>
        <w:rPr>
          <w:rStyle w:val="17"/>
          <w:rFonts w:hint="eastAsia" w:ascii="仿宋" w:hAnsi="仿宋" w:eastAsia="仿宋"/>
          <w:bCs/>
          <w:sz w:val="32"/>
          <w:szCs w:val="32"/>
        </w:rPr>
        <w:t>（款）其他统计</w:t>
      </w:r>
      <w:r>
        <w:rPr>
          <w:rStyle w:val="17"/>
          <w:rFonts w:ascii="仿宋" w:hAnsi="仿宋" w:eastAsia="仿宋"/>
          <w:bCs/>
          <w:sz w:val="32"/>
          <w:szCs w:val="32"/>
        </w:rPr>
        <w:t>信息事务支出</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5.00</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lang w:val="en-US" w:eastAsia="zh-CN"/>
        </w:rPr>
        <w:t>8</w:t>
      </w:r>
      <w:r>
        <w:rPr>
          <w:rStyle w:val="17"/>
          <w:rFonts w:ascii="仿宋" w:hAnsi="仿宋" w:eastAsia="仿宋"/>
          <w:bCs/>
          <w:sz w:val="32"/>
          <w:szCs w:val="32"/>
        </w:rPr>
        <w:t>.</w:t>
      </w:r>
      <w:r>
        <w:rPr>
          <w:rStyle w:val="17"/>
          <w:rFonts w:hint="eastAsia" w:ascii="仿宋" w:hAnsi="仿宋" w:eastAsia="仿宋"/>
          <w:bCs/>
          <w:sz w:val="32"/>
          <w:szCs w:val="32"/>
        </w:rPr>
        <w:t>社会保障和就业（类）行政</w:t>
      </w:r>
      <w:r>
        <w:rPr>
          <w:rStyle w:val="17"/>
          <w:rFonts w:ascii="仿宋" w:hAnsi="仿宋" w:eastAsia="仿宋"/>
          <w:bCs/>
          <w:sz w:val="32"/>
          <w:szCs w:val="32"/>
        </w:rPr>
        <w:t>事业单位养老支出</w:t>
      </w:r>
      <w:r>
        <w:rPr>
          <w:rStyle w:val="17"/>
          <w:rFonts w:hint="eastAsia" w:ascii="仿宋" w:hAnsi="仿宋" w:eastAsia="仿宋"/>
          <w:bCs/>
          <w:sz w:val="32"/>
          <w:szCs w:val="32"/>
        </w:rPr>
        <w:t>（款）行政单位离退休（项）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18.00</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Style w:val="17"/>
          <w:rFonts w:hint="eastAsia" w:ascii="仿宋" w:hAnsi="仿宋" w:eastAsia="仿宋"/>
          <w:b w:val="0"/>
          <w:bCs/>
          <w:sz w:val="32"/>
          <w:szCs w:val="32"/>
        </w:rPr>
        <w:t>，决算数等于预算数。</w:t>
      </w:r>
    </w:p>
    <w:p>
      <w:p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lang w:val="en-US" w:eastAsia="zh-CN"/>
        </w:rPr>
        <w:t>9</w:t>
      </w:r>
      <w:r>
        <w:rPr>
          <w:rStyle w:val="17"/>
          <w:rFonts w:ascii="仿宋" w:hAnsi="仿宋" w:eastAsia="仿宋"/>
          <w:bCs/>
          <w:sz w:val="32"/>
          <w:szCs w:val="32"/>
        </w:rPr>
        <w:t>.</w:t>
      </w:r>
      <w:r>
        <w:rPr>
          <w:rStyle w:val="17"/>
          <w:rFonts w:hint="eastAsia" w:ascii="仿宋" w:hAnsi="仿宋" w:eastAsia="仿宋"/>
          <w:bCs/>
          <w:sz w:val="32"/>
          <w:szCs w:val="32"/>
        </w:rPr>
        <w:t xml:space="preserve"> 社会保障和就业（类）行政</w:t>
      </w:r>
      <w:r>
        <w:rPr>
          <w:rStyle w:val="17"/>
          <w:rFonts w:ascii="仿宋" w:hAnsi="仿宋" w:eastAsia="仿宋"/>
          <w:bCs/>
          <w:sz w:val="32"/>
          <w:szCs w:val="32"/>
        </w:rPr>
        <w:t>事业单位养老支出</w:t>
      </w:r>
      <w:r>
        <w:rPr>
          <w:rStyle w:val="17"/>
          <w:rFonts w:hint="eastAsia" w:ascii="仿宋" w:hAnsi="仿宋" w:eastAsia="仿宋"/>
          <w:bCs/>
          <w:sz w:val="32"/>
          <w:szCs w:val="32"/>
        </w:rPr>
        <w:t>（款）机关</w:t>
      </w:r>
      <w:r>
        <w:rPr>
          <w:rStyle w:val="17"/>
          <w:rFonts w:ascii="仿宋" w:hAnsi="仿宋" w:eastAsia="仿宋"/>
          <w:bCs/>
          <w:sz w:val="32"/>
          <w:szCs w:val="32"/>
        </w:rPr>
        <w:t>事业单位基本养老保险支出</w:t>
      </w:r>
      <w:r>
        <w:rPr>
          <w:rStyle w:val="17"/>
          <w:rFonts w:hint="eastAsia" w:ascii="仿宋" w:hAnsi="仿宋" w:eastAsia="仿宋"/>
          <w:bCs/>
          <w:sz w:val="32"/>
          <w:szCs w:val="32"/>
        </w:rPr>
        <w:t>（项）：</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44.03</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spacing w:line="600" w:lineRule="exact"/>
        <w:ind w:firstLine="643" w:firstLineChars="200"/>
        <w:rPr>
          <w:rStyle w:val="17"/>
          <w:rFonts w:ascii="仿宋" w:hAnsi="仿宋" w:eastAsia="仿宋"/>
          <w:b w:val="0"/>
          <w:bCs/>
          <w:sz w:val="32"/>
          <w:szCs w:val="32"/>
        </w:rPr>
      </w:pPr>
      <w:r>
        <w:rPr>
          <w:rStyle w:val="17"/>
          <w:rFonts w:hint="eastAsia" w:ascii="仿宋" w:hAnsi="仿宋" w:eastAsia="仿宋"/>
          <w:bCs/>
          <w:sz w:val="32"/>
          <w:szCs w:val="32"/>
          <w:lang w:val="en-US" w:eastAsia="zh-CN"/>
        </w:rPr>
        <w:t>10</w:t>
      </w:r>
      <w:r>
        <w:rPr>
          <w:rStyle w:val="17"/>
          <w:rFonts w:ascii="仿宋" w:hAnsi="仿宋" w:eastAsia="仿宋"/>
          <w:bCs/>
          <w:sz w:val="32"/>
          <w:szCs w:val="32"/>
        </w:rPr>
        <w:t>.</w:t>
      </w:r>
      <w:r>
        <w:rPr>
          <w:rStyle w:val="17"/>
          <w:rFonts w:hint="eastAsia" w:ascii="仿宋" w:hAnsi="仿宋" w:eastAsia="仿宋"/>
          <w:bCs/>
          <w:sz w:val="32"/>
          <w:szCs w:val="32"/>
        </w:rPr>
        <w:t xml:space="preserve"> 社会保障和就业（类）其他</w:t>
      </w:r>
      <w:r>
        <w:rPr>
          <w:rStyle w:val="17"/>
          <w:rFonts w:ascii="仿宋" w:hAnsi="仿宋" w:eastAsia="仿宋"/>
          <w:bCs/>
          <w:sz w:val="32"/>
          <w:szCs w:val="32"/>
        </w:rPr>
        <w:t>社会保障和就业支出</w:t>
      </w:r>
      <w:r>
        <w:rPr>
          <w:rStyle w:val="17"/>
          <w:rFonts w:hint="eastAsia" w:ascii="仿宋" w:hAnsi="仿宋" w:eastAsia="仿宋"/>
          <w:bCs/>
          <w:sz w:val="32"/>
          <w:szCs w:val="32"/>
        </w:rPr>
        <w:t>（款）其他社会</w:t>
      </w:r>
      <w:r>
        <w:rPr>
          <w:rStyle w:val="17"/>
          <w:rFonts w:ascii="仿宋" w:hAnsi="仿宋" w:eastAsia="仿宋"/>
          <w:bCs/>
          <w:sz w:val="32"/>
          <w:szCs w:val="32"/>
        </w:rPr>
        <w:t>保障和就业支出</w:t>
      </w:r>
      <w:r>
        <w:rPr>
          <w:rStyle w:val="17"/>
          <w:rFonts w:hint="eastAsia" w:ascii="仿宋" w:hAnsi="仿宋" w:eastAsia="仿宋"/>
          <w:bCs/>
          <w:sz w:val="32"/>
          <w:szCs w:val="32"/>
        </w:rPr>
        <w:t>（项）：</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0.17</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Style w:val="17"/>
          <w:rFonts w:hint="eastAsia" w:ascii="仿宋" w:hAnsi="仿宋" w:eastAsia="仿宋"/>
          <w:b w:val="0"/>
          <w:bCs/>
          <w:sz w:val="32"/>
          <w:szCs w:val="32"/>
        </w:rPr>
        <w:t>，决算数等于预算数。</w:t>
      </w:r>
    </w:p>
    <w:p>
      <w:pPr>
        <w:spacing w:line="600" w:lineRule="exact"/>
        <w:ind w:firstLine="643" w:firstLineChars="200"/>
        <w:rPr>
          <w:rStyle w:val="17"/>
          <w:rFonts w:ascii="仿宋" w:hAnsi="仿宋" w:eastAsia="仿宋"/>
          <w:b w:val="0"/>
          <w:bCs/>
          <w:sz w:val="32"/>
          <w:szCs w:val="32"/>
        </w:rPr>
      </w:pPr>
      <w:r>
        <w:rPr>
          <w:rStyle w:val="17"/>
          <w:rFonts w:ascii="仿宋" w:hAnsi="仿宋" w:eastAsia="仿宋"/>
          <w:bCs/>
          <w:sz w:val="32"/>
          <w:szCs w:val="32"/>
        </w:rPr>
        <w:t>1</w:t>
      </w:r>
      <w:r>
        <w:rPr>
          <w:rStyle w:val="17"/>
          <w:rFonts w:hint="eastAsia" w:ascii="仿宋" w:hAnsi="仿宋" w:eastAsia="仿宋"/>
          <w:bCs/>
          <w:sz w:val="32"/>
          <w:szCs w:val="32"/>
          <w:lang w:val="en-US" w:eastAsia="zh-CN"/>
        </w:rPr>
        <w:t>1</w:t>
      </w:r>
      <w:r>
        <w:rPr>
          <w:rStyle w:val="17"/>
          <w:rFonts w:ascii="仿宋" w:hAnsi="仿宋" w:eastAsia="仿宋"/>
          <w:bCs/>
          <w:sz w:val="32"/>
          <w:szCs w:val="32"/>
        </w:rPr>
        <w:t>.</w:t>
      </w:r>
      <w:r>
        <w:rPr>
          <w:rFonts w:hint="eastAsia" w:ascii="仿宋" w:hAnsi="仿宋" w:eastAsia="仿宋"/>
          <w:b/>
          <w:bCs/>
          <w:sz w:val="32"/>
          <w:szCs w:val="32"/>
        </w:rPr>
        <w:t>卫生健康</w:t>
      </w:r>
      <w:r>
        <w:rPr>
          <w:rStyle w:val="17"/>
          <w:rFonts w:hint="eastAsia" w:ascii="仿宋" w:hAnsi="仿宋" w:eastAsia="仿宋"/>
          <w:bCs/>
          <w:sz w:val="32"/>
          <w:szCs w:val="32"/>
        </w:rPr>
        <w:t>（类）行政事业</w:t>
      </w:r>
      <w:r>
        <w:rPr>
          <w:rStyle w:val="17"/>
          <w:rFonts w:ascii="仿宋" w:hAnsi="仿宋" w:eastAsia="仿宋"/>
          <w:bCs/>
          <w:sz w:val="32"/>
          <w:szCs w:val="32"/>
        </w:rPr>
        <w:t>单位医疗</w:t>
      </w:r>
      <w:r>
        <w:rPr>
          <w:rStyle w:val="17"/>
          <w:rFonts w:hint="eastAsia" w:ascii="仿宋" w:hAnsi="仿宋" w:eastAsia="仿宋"/>
          <w:bCs/>
          <w:sz w:val="32"/>
          <w:szCs w:val="32"/>
        </w:rPr>
        <w:t>（款）行政</w:t>
      </w:r>
      <w:r>
        <w:rPr>
          <w:rStyle w:val="17"/>
          <w:rFonts w:ascii="仿宋" w:hAnsi="仿宋" w:eastAsia="仿宋"/>
          <w:bCs/>
          <w:sz w:val="32"/>
          <w:szCs w:val="32"/>
        </w:rPr>
        <w:t>单位医疗</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21.09</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Style w:val="17"/>
          <w:rFonts w:hint="eastAsia" w:ascii="仿宋" w:hAnsi="仿宋" w:eastAsia="仿宋"/>
          <w:b w:val="0"/>
          <w:bCs/>
          <w:sz w:val="32"/>
          <w:szCs w:val="32"/>
        </w:rPr>
        <w:t>，决算数等于预算数。</w:t>
      </w:r>
    </w:p>
    <w:p>
      <w:pPr>
        <w:spacing w:line="600" w:lineRule="exact"/>
        <w:ind w:firstLine="643" w:firstLineChars="200"/>
        <w:rPr>
          <w:rStyle w:val="17"/>
          <w:rFonts w:ascii="仿宋" w:hAnsi="仿宋" w:eastAsia="仿宋"/>
          <w:b w:val="0"/>
          <w:bCs/>
          <w:sz w:val="32"/>
          <w:szCs w:val="32"/>
        </w:rPr>
      </w:pPr>
      <w:r>
        <w:rPr>
          <w:rStyle w:val="17"/>
          <w:rFonts w:ascii="仿宋" w:hAnsi="仿宋" w:eastAsia="仿宋"/>
          <w:bCs/>
          <w:sz w:val="32"/>
          <w:szCs w:val="32"/>
        </w:rPr>
        <w:t>1</w:t>
      </w:r>
      <w:r>
        <w:rPr>
          <w:rStyle w:val="17"/>
          <w:rFonts w:hint="eastAsia" w:ascii="仿宋" w:hAnsi="仿宋" w:eastAsia="仿宋"/>
          <w:bCs/>
          <w:sz w:val="32"/>
          <w:szCs w:val="32"/>
          <w:lang w:val="en-US" w:eastAsia="zh-CN"/>
        </w:rPr>
        <w:t>2</w:t>
      </w:r>
      <w:r>
        <w:rPr>
          <w:rStyle w:val="17"/>
          <w:rFonts w:ascii="仿宋" w:hAnsi="仿宋" w:eastAsia="仿宋"/>
          <w:bCs/>
          <w:sz w:val="32"/>
          <w:szCs w:val="32"/>
        </w:rPr>
        <w:t>.</w:t>
      </w:r>
      <w:r>
        <w:rPr>
          <w:rFonts w:hint="eastAsia" w:ascii="仿宋" w:hAnsi="仿宋" w:eastAsia="仿宋"/>
          <w:b/>
          <w:bCs/>
          <w:sz w:val="32"/>
          <w:szCs w:val="32"/>
        </w:rPr>
        <w:t>卫生健康</w:t>
      </w:r>
      <w:r>
        <w:rPr>
          <w:rStyle w:val="17"/>
          <w:rFonts w:hint="eastAsia" w:ascii="仿宋" w:hAnsi="仿宋" w:eastAsia="仿宋"/>
          <w:bCs/>
          <w:sz w:val="32"/>
          <w:szCs w:val="32"/>
        </w:rPr>
        <w:t>（类）行政事业</w:t>
      </w:r>
      <w:r>
        <w:rPr>
          <w:rStyle w:val="17"/>
          <w:rFonts w:ascii="仿宋" w:hAnsi="仿宋" w:eastAsia="仿宋"/>
          <w:bCs/>
          <w:sz w:val="32"/>
          <w:szCs w:val="32"/>
        </w:rPr>
        <w:t>单位医疗</w:t>
      </w:r>
      <w:r>
        <w:rPr>
          <w:rStyle w:val="17"/>
          <w:rFonts w:hint="eastAsia" w:ascii="仿宋" w:hAnsi="仿宋" w:eastAsia="仿宋"/>
          <w:bCs/>
          <w:sz w:val="32"/>
          <w:szCs w:val="32"/>
        </w:rPr>
        <w:t>（款）事业</w:t>
      </w:r>
      <w:r>
        <w:rPr>
          <w:rStyle w:val="17"/>
          <w:rFonts w:ascii="仿宋" w:hAnsi="仿宋" w:eastAsia="仿宋"/>
          <w:bCs/>
          <w:sz w:val="32"/>
          <w:szCs w:val="32"/>
        </w:rPr>
        <w:t>单位医疗</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4.33</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Style w:val="17"/>
          <w:rFonts w:hint="eastAsia" w:ascii="仿宋" w:hAnsi="仿宋" w:eastAsia="仿宋"/>
          <w:b w:val="0"/>
          <w:bCs/>
          <w:sz w:val="32"/>
          <w:szCs w:val="32"/>
        </w:rPr>
        <w:t>，决算数等于预算数。</w:t>
      </w:r>
    </w:p>
    <w:p>
      <w:pPr>
        <w:spacing w:line="600" w:lineRule="exact"/>
        <w:ind w:firstLine="643" w:firstLineChars="200"/>
        <w:rPr>
          <w:rStyle w:val="17"/>
          <w:rFonts w:hint="eastAsia" w:ascii="仿宋" w:hAnsi="仿宋" w:eastAsia="仿宋"/>
          <w:b w:val="0"/>
          <w:bCs/>
          <w:sz w:val="32"/>
          <w:szCs w:val="32"/>
        </w:rPr>
      </w:pPr>
      <w:r>
        <w:rPr>
          <w:rStyle w:val="17"/>
          <w:rFonts w:ascii="仿宋" w:hAnsi="仿宋" w:eastAsia="仿宋"/>
          <w:bCs/>
          <w:sz w:val="32"/>
          <w:szCs w:val="32"/>
        </w:rPr>
        <w:t>1</w:t>
      </w:r>
      <w:r>
        <w:rPr>
          <w:rStyle w:val="17"/>
          <w:rFonts w:hint="eastAsia" w:ascii="仿宋" w:hAnsi="仿宋" w:eastAsia="仿宋"/>
          <w:bCs/>
          <w:sz w:val="32"/>
          <w:szCs w:val="32"/>
          <w:lang w:val="en-US" w:eastAsia="zh-CN"/>
        </w:rPr>
        <w:t>3</w:t>
      </w:r>
      <w:r>
        <w:rPr>
          <w:rStyle w:val="17"/>
          <w:rFonts w:ascii="仿宋" w:hAnsi="仿宋" w:eastAsia="仿宋"/>
          <w:bCs/>
          <w:sz w:val="32"/>
          <w:szCs w:val="32"/>
        </w:rPr>
        <w:t>.</w:t>
      </w:r>
      <w:r>
        <w:rPr>
          <w:rFonts w:hint="eastAsia" w:ascii="仿宋" w:hAnsi="仿宋" w:eastAsia="仿宋"/>
          <w:b/>
          <w:bCs/>
          <w:sz w:val="32"/>
          <w:szCs w:val="32"/>
        </w:rPr>
        <w:t>卫生健康</w:t>
      </w:r>
      <w:r>
        <w:rPr>
          <w:rStyle w:val="17"/>
          <w:rFonts w:hint="eastAsia" w:ascii="仿宋" w:hAnsi="仿宋" w:eastAsia="仿宋"/>
          <w:bCs/>
          <w:sz w:val="32"/>
          <w:szCs w:val="32"/>
        </w:rPr>
        <w:t>（类）行政事业</w:t>
      </w:r>
      <w:r>
        <w:rPr>
          <w:rStyle w:val="17"/>
          <w:rFonts w:ascii="仿宋" w:hAnsi="仿宋" w:eastAsia="仿宋"/>
          <w:bCs/>
          <w:sz w:val="32"/>
          <w:szCs w:val="32"/>
        </w:rPr>
        <w:t>单位医疗</w:t>
      </w:r>
      <w:r>
        <w:rPr>
          <w:rStyle w:val="17"/>
          <w:rFonts w:hint="eastAsia" w:ascii="仿宋" w:hAnsi="仿宋" w:eastAsia="仿宋"/>
          <w:bCs/>
          <w:sz w:val="32"/>
          <w:szCs w:val="32"/>
        </w:rPr>
        <w:t>（款）公务员医疗</w:t>
      </w:r>
      <w:r>
        <w:rPr>
          <w:rStyle w:val="17"/>
          <w:rFonts w:ascii="仿宋" w:hAnsi="仿宋" w:eastAsia="仿宋"/>
          <w:bCs/>
          <w:sz w:val="32"/>
          <w:szCs w:val="32"/>
        </w:rPr>
        <w:t>补助</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4.60</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Style w:val="17"/>
          <w:rFonts w:hint="eastAsia" w:ascii="仿宋" w:hAnsi="仿宋" w:eastAsia="仿宋"/>
          <w:b w:val="0"/>
          <w:bCs/>
          <w:sz w:val="32"/>
          <w:szCs w:val="32"/>
        </w:rPr>
        <w:t>，决算数等于预算数</w:t>
      </w:r>
    </w:p>
    <w:p>
      <w:pPr>
        <w:spacing w:line="600" w:lineRule="exact"/>
        <w:ind w:firstLine="643" w:firstLineChars="200"/>
        <w:rPr>
          <w:rStyle w:val="17"/>
          <w:rFonts w:ascii="仿宋" w:hAnsi="仿宋" w:eastAsia="仿宋"/>
          <w:b w:val="0"/>
          <w:bCs/>
          <w:sz w:val="32"/>
          <w:szCs w:val="32"/>
        </w:rPr>
      </w:pPr>
      <w:r>
        <w:rPr>
          <w:rStyle w:val="17"/>
          <w:rFonts w:ascii="仿宋" w:hAnsi="仿宋" w:eastAsia="仿宋"/>
          <w:bCs/>
          <w:sz w:val="32"/>
          <w:szCs w:val="32"/>
        </w:rPr>
        <w:t>1</w:t>
      </w:r>
      <w:r>
        <w:rPr>
          <w:rStyle w:val="17"/>
          <w:rFonts w:hint="eastAsia" w:ascii="仿宋" w:hAnsi="仿宋" w:eastAsia="仿宋"/>
          <w:bCs/>
          <w:sz w:val="32"/>
          <w:szCs w:val="32"/>
          <w:lang w:val="en-US" w:eastAsia="zh-CN"/>
        </w:rPr>
        <w:t>4</w:t>
      </w:r>
      <w:r>
        <w:rPr>
          <w:rStyle w:val="17"/>
          <w:rFonts w:ascii="仿宋" w:hAnsi="仿宋" w:eastAsia="仿宋"/>
          <w:bCs/>
          <w:sz w:val="32"/>
          <w:szCs w:val="32"/>
        </w:rPr>
        <w:t>.</w:t>
      </w:r>
      <w:r>
        <w:rPr>
          <w:rFonts w:hint="eastAsia" w:ascii="仿宋" w:hAnsi="仿宋" w:eastAsia="仿宋"/>
          <w:b/>
          <w:bCs/>
          <w:sz w:val="32"/>
          <w:szCs w:val="32"/>
        </w:rPr>
        <w:t>卫生健康</w:t>
      </w:r>
      <w:r>
        <w:rPr>
          <w:rStyle w:val="17"/>
          <w:rFonts w:hint="eastAsia" w:ascii="仿宋" w:hAnsi="仿宋" w:eastAsia="仿宋"/>
          <w:bCs/>
          <w:sz w:val="32"/>
          <w:szCs w:val="32"/>
        </w:rPr>
        <w:t>（类）行政事业</w:t>
      </w:r>
      <w:r>
        <w:rPr>
          <w:rStyle w:val="17"/>
          <w:rFonts w:ascii="仿宋" w:hAnsi="仿宋" w:eastAsia="仿宋"/>
          <w:bCs/>
          <w:sz w:val="32"/>
          <w:szCs w:val="32"/>
        </w:rPr>
        <w:t>单位医疗</w:t>
      </w:r>
      <w:r>
        <w:rPr>
          <w:rStyle w:val="17"/>
          <w:rFonts w:hint="eastAsia" w:ascii="仿宋" w:hAnsi="仿宋" w:eastAsia="仿宋"/>
          <w:bCs/>
          <w:sz w:val="32"/>
          <w:szCs w:val="32"/>
        </w:rPr>
        <w:t>（款）</w:t>
      </w:r>
      <w:r>
        <w:rPr>
          <w:rStyle w:val="17"/>
          <w:rFonts w:hint="eastAsia" w:ascii="仿宋" w:hAnsi="仿宋" w:eastAsia="仿宋"/>
          <w:bCs/>
          <w:sz w:val="32"/>
          <w:szCs w:val="32"/>
          <w:lang w:eastAsia="zh-CN"/>
        </w:rPr>
        <w:t>其他行政事业单位医疗</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1.48</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100.00%</w:t>
      </w:r>
      <w:r>
        <w:rPr>
          <w:rStyle w:val="17"/>
          <w:rFonts w:hint="eastAsia" w:ascii="仿宋" w:hAnsi="仿宋" w:eastAsia="仿宋"/>
          <w:b w:val="0"/>
          <w:bCs/>
          <w:sz w:val="32"/>
          <w:szCs w:val="32"/>
        </w:rPr>
        <w:t>，决算数等于预算数。</w:t>
      </w:r>
    </w:p>
    <w:p>
      <w:pPr>
        <w:spacing w:line="600" w:lineRule="exact"/>
        <w:ind w:firstLine="643" w:firstLineChars="200"/>
        <w:rPr>
          <w:rFonts w:ascii="仿宋" w:hAnsi="仿宋" w:eastAsia="仿宋"/>
          <w:color w:val="auto"/>
          <w:sz w:val="32"/>
          <w:szCs w:val="32"/>
          <w:highlight w:val="none"/>
        </w:rPr>
      </w:pPr>
      <w:r>
        <w:rPr>
          <w:rStyle w:val="17"/>
          <w:rFonts w:ascii="仿宋" w:hAnsi="仿宋" w:eastAsia="仿宋"/>
          <w:bCs/>
          <w:sz w:val="32"/>
          <w:szCs w:val="32"/>
        </w:rPr>
        <w:t>1</w:t>
      </w:r>
      <w:r>
        <w:rPr>
          <w:rStyle w:val="17"/>
          <w:rFonts w:hint="eastAsia" w:ascii="仿宋" w:hAnsi="仿宋" w:eastAsia="仿宋"/>
          <w:bCs/>
          <w:sz w:val="32"/>
          <w:szCs w:val="32"/>
          <w:lang w:val="en-US" w:eastAsia="zh-CN"/>
        </w:rPr>
        <w:t>5</w:t>
      </w:r>
      <w:r>
        <w:rPr>
          <w:rStyle w:val="17"/>
          <w:rFonts w:ascii="仿宋" w:hAnsi="仿宋" w:eastAsia="仿宋"/>
          <w:bCs/>
          <w:sz w:val="32"/>
          <w:szCs w:val="32"/>
        </w:rPr>
        <w:t>.</w:t>
      </w:r>
      <w:r>
        <w:rPr>
          <w:rFonts w:hint="eastAsia" w:ascii="仿宋" w:hAnsi="仿宋" w:eastAsia="仿宋"/>
          <w:b/>
          <w:bCs/>
          <w:sz w:val="32"/>
          <w:szCs w:val="32"/>
        </w:rPr>
        <w:t>住房</w:t>
      </w:r>
      <w:r>
        <w:rPr>
          <w:rFonts w:ascii="仿宋" w:hAnsi="仿宋" w:eastAsia="仿宋"/>
          <w:b/>
          <w:bCs/>
          <w:sz w:val="32"/>
          <w:szCs w:val="32"/>
        </w:rPr>
        <w:t>保障</w:t>
      </w:r>
      <w:r>
        <w:rPr>
          <w:rFonts w:hint="eastAsia" w:ascii="仿宋" w:hAnsi="仿宋" w:eastAsia="仿宋"/>
          <w:b/>
          <w:bCs/>
          <w:sz w:val="32"/>
          <w:szCs w:val="32"/>
          <w:lang w:eastAsia="zh-CN"/>
        </w:rPr>
        <w:t>（</w:t>
      </w:r>
      <w:r>
        <w:rPr>
          <w:rStyle w:val="17"/>
          <w:rFonts w:hint="eastAsia" w:ascii="仿宋" w:hAnsi="仿宋" w:eastAsia="仿宋"/>
          <w:bCs/>
          <w:sz w:val="32"/>
          <w:szCs w:val="32"/>
        </w:rPr>
        <w:t>类）住房</w:t>
      </w:r>
      <w:r>
        <w:rPr>
          <w:rStyle w:val="17"/>
          <w:rFonts w:ascii="仿宋" w:hAnsi="仿宋" w:eastAsia="仿宋"/>
          <w:bCs/>
          <w:sz w:val="32"/>
          <w:szCs w:val="32"/>
        </w:rPr>
        <w:t>改革</w:t>
      </w:r>
      <w:r>
        <w:rPr>
          <w:rStyle w:val="17"/>
          <w:rFonts w:hint="eastAsia" w:ascii="仿宋" w:hAnsi="仿宋" w:eastAsia="仿宋"/>
          <w:bCs/>
          <w:sz w:val="32"/>
          <w:szCs w:val="32"/>
        </w:rPr>
        <w:t>（款）住房</w:t>
      </w:r>
      <w:r>
        <w:rPr>
          <w:rStyle w:val="17"/>
          <w:rFonts w:ascii="仿宋" w:hAnsi="仿宋" w:eastAsia="仿宋"/>
          <w:bCs/>
          <w:sz w:val="32"/>
          <w:szCs w:val="32"/>
        </w:rPr>
        <w:t>公积金</w:t>
      </w:r>
      <w:r>
        <w:rPr>
          <w:rStyle w:val="17"/>
          <w:rFonts w:hint="eastAsia" w:ascii="仿宋" w:hAnsi="仿宋" w:eastAsia="仿宋"/>
          <w:bCs/>
          <w:sz w:val="32"/>
          <w:szCs w:val="32"/>
        </w:rPr>
        <w:t>（项）</w:t>
      </w:r>
      <w:r>
        <w:rPr>
          <w:rStyle w:val="17"/>
          <w:rFonts w:ascii="仿宋" w:hAnsi="仿宋" w:eastAsia="仿宋"/>
          <w:bCs/>
          <w:sz w:val="32"/>
          <w:szCs w:val="32"/>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52.79</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pPr>
        <w:tabs>
          <w:tab w:val="right" w:pos="8306"/>
        </w:tabs>
        <w:spacing w:line="600" w:lineRule="exact"/>
        <w:ind w:firstLine="640"/>
        <w:outlineLvl w:val="1"/>
        <w:rPr>
          <w:rStyle w:val="29"/>
          <w:color w:val="auto"/>
          <w:highlight w:val="none"/>
        </w:rPr>
      </w:pPr>
      <w:bookmarkStart w:id="50" w:name="_Toc15396608"/>
      <w:bookmarkStart w:id="51" w:name="_Toc4396"/>
      <w:bookmarkStart w:id="52"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般公共预算财政拨款基本支出决算情况说明</w:t>
      </w:r>
      <w:bookmarkEnd w:id="50"/>
      <w:bookmarkEnd w:id="51"/>
      <w:bookmarkEnd w:id="52"/>
      <w:r>
        <w:rPr>
          <w:rStyle w:val="29"/>
          <w:rFonts w:ascii="黑体" w:hAnsi="黑体" w:eastAsia="黑体"/>
          <w:b w:val="0"/>
          <w:color w:val="auto"/>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750.65</w:t>
      </w:r>
      <w:r>
        <w:rPr>
          <w:rFonts w:hint="eastAsia" w:ascii="仿宋" w:hAnsi="仿宋" w:eastAsia="仿宋"/>
          <w:color w:val="auto"/>
          <w:sz w:val="32"/>
          <w:szCs w:val="32"/>
          <w:highlight w:val="none"/>
        </w:rPr>
        <w:t>万元，其中：</w:t>
      </w:r>
    </w:p>
    <w:p>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632.80</w:t>
      </w:r>
      <w:r>
        <w:rPr>
          <w:rFonts w:hint="eastAsia" w:ascii="仿宋" w:hAnsi="仿宋" w:eastAsia="仿宋"/>
          <w:color w:val="auto"/>
          <w:sz w:val="32"/>
          <w:szCs w:val="32"/>
          <w:highlight w:val="none"/>
        </w:rPr>
        <w:t>万元，主要包括：基本工资、津贴补贴、奖金、绩效工资、机关事业单位基本养老保险费、</w:t>
      </w:r>
      <w:r>
        <w:rPr>
          <w:rFonts w:hint="eastAsia" w:ascii="仿宋" w:hAnsi="仿宋" w:eastAsia="仿宋"/>
          <w:color w:val="auto"/>
          <w:sz w:val="32"/>
          <w:szCs w:val="32"/>
          <w:highlight w:val="none"/>
          <w:lang w:eastAsia="zh-CN"/>
        </w:rPr>
        <w:t>职工基本医疗保险缴费、公务员医疗补助缴费、</w:t>
      </w:r>
      <w:r>
        <w:rPr>
          <w:rFonts w:hint="eastAsia" w:ascii="仿宋" w:hAnsi="仿宋" w:eastAsia="仿宋"/>
          <w:color w:val="auto"/>
          <w:sz w:val="32"/>
          <w:szCs w:val="32"/>
          <w:highlight w:val="none"/>
        </w:rPr>
        <w:t>其他社会保障缴费、其他工资福利支出、生活补助、医疗费补助、奖励金、住房公积金等。</w:t>
      </w:r>
    </w:p>
    <w:p>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117.84</w:t>
      </w:r>
      <w:r>
        <w:rPr>
          <w:rFonts w:hint="eastAsia" w:ascii="仿宋" w:hAnsi="仿宋" w:eastAsia="仿宋"/>
          <w:color w:val="auto"/>
          <w:sz w:val="32"/>
          <w:szCs w:val="32"/>
          <w:highlight w:val="none"/>
        </w:rPr>
        <w:t>万元，主要包括：办公费、印刷费、邮电费、差旅费、维修（护）费、会议费、公务接待费、工会经费、福利费、公务用车运行维护费、其他交通费、其他商品和服务支出等。</w:t>
      </w:r>
    </w:p>
    <w:p>
      <w:pPr>
        <w:spacing w:line="600" w:lineRule="exact"/>
        <w:ind w:firstLine="640"/>
        <w:outlineLvl w:val="1"/>
        <w:rPr>
          <w:rStyle w:val="29"/>
          <w:rFonts w:ascii="黑体" w:hAnsi="黑体" w:eastAsia="黑体"/>
          <w:b w:val="0"/>
          <w:color w:val="auto"/>
          <w:highlight w:val="none"/>
        </w:rPr>
      </w:pPr>
      <w:bookmarkStart w:id="53" w:name="_Toc15396609"/>
      <w:bookmarkStart w:id="54" w:name="_Toc2375"/>
      <w:bookmarkStart w:id="55" w:name="_Toc15377215"/>
      <w:r>
        <w:rPr>
          <w:rFonts w:hint="eastAsia" w:ascii="黑体" w:eastAsia="黑体"/>
          <w:color w:val="auto"/>
          <w:sz w:val="32"/>
          <w:szCs w:val="32"/>
          <w:highlight w:val="none"/>
        </w:rPr>
        <w:t>七、</w:t>
      </w:r>
      <w:r>
        <w:rPr>
          <w:rStyle w:val="29"/>
          <w:rFonts w:hint="eastAsia" w:ascii="黑体" w:hAnsi="黑体" w:eastAsia="黑体"/>
          <w:b w:val="0"/>
          <w:color w:val="auto"/>
          <w:highlight w:val="none"/>
        </w:rPr>
        <w:t>财政拨款</w:t>
      </w:r>
      <w:r>
        <w:rPr>
          <w:rStyle w:val="29"/>
          <w:rFonts w:hint="eastAsia" w:ascii="黑体" w:hAnsi="黑体" w:eastAsia="黑体"/>
          <w:color w:val="auto"/>
          <w:highlight w:val="none"/>
        </w:rPr>
        <w:t>“</w:t>
      </w:r>
      <w:r>
        <w:rPr>
          <w:rStyle w:val="29"/>
          <w:rFonts w:hint="eastAsia" w:ascii="黑体" w:hAnsi="黑体" w:eastAsia="黑体"/>
          <w:b w:val="0"/>
          <w:color w:val="auto"/>
          <w:highlight w:val="none"/>
        </w:rPr>
        <w:t>三公”经费支出决算情况说明</w:t>
      </w:r>
      <w:bookmarkEnd w:id="53"/>
      <w:bookmarkEnd w:id="54"/>
      <w:bookmarkEnd w:id="55"/>
    </w:p>
    <w:p>
      <w:pPr>
        <w:spacing w:line="600" w:lineRule="exact"/>
        <w:ind w:firstLine="640"/>
        <w:outlineLvl w:val="2"/>
        <w:rPr>
          <w:rFonts w:ascii="仿宋" w:hAnsi="仿宋" w:eastAsia="仿宋"/>
          <w:b/>
          <w:color w:val="auto"/>
          <w:sz w:val="32"/>
          <w:szCs w:val="32"/>
          <w:highlight w:val="none"/>
        </w:rPr>
      </w:pPr>
      <w:bookmarkStart w:id="56" w:name="_Toc15377216"/>
      <w:r>
        <w:rPr>
          <w:rFonts w:hint="eastAsia" w:ascii="仿宋" w:hAnsi="仿宋" w:eastAsia="仿宋"/>
          <w:b/>
          <w:color w:val="auto"/>
          <w:sz w:val="32"/>
          <w:szCs w:val="32"/>
          <w:highlight w:val="none"/>
        </w:rPr>
        <w:t>（一）“三公”经费财政拨款支出决算总体情况说明</w:t>
      </w:r>
      <w:bookmarkEnd w:id="56"/>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7.73</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79.53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较上年增加</w:t>
      </w:r>
      <w:r>
        <w:rPr>
          <w:rFonts w:hint="eastAsia" w:ascii="仿宋" w:hAnsi="仿宋" w:eastAsia="仿宋"/>
          <w:color w:val="auto"/>
          <w:sz w:val="32"/>
          <w:szCs w:val="32"/>
          <w:highlight w:val="none"/>
          <w:lang w:val="en-US" w:eastAsia="zh-CN"/>
        </w:rPr>
        <w:t>0.06万元，增长0.78%,与上年度基本持平。</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eastAsia="zh-CN"/>
        </w:rPr>
        <w:t>公务接待实际发生小于年初预算金额</w:t>
      </w:r>
      <w:r>
        <w:rPr>
          <w:rFonts w:hint="eastAsia" w:ascii="仿宋" w:hAnsi="仿宋" w:eastAsia="仿宋"/>
          <w:color w:val="auto"/>
          <w:sz w:val="32"/>
          <w:szCs w:val="32"/>
          <w:highlight w:val="none"/>
        </w:rPr>
        <w:t>。</w:t>
      </w:r>
    </w:p>
    <w:p>
      <w:pPr>
        <w:spacing w:line="600" w:lineRule="exact"/>
        <w:ind w:firstLine="640"/>
        <w:outlineLvl w:val="2"/>
        <w:rPr>
          <w:rFonts w:ascii="仿宋" w:hAnsi="仿宋" w:eastAsia="仿宋"/>
          <w:b/>
          <w:color w:val="auto"/>
          <w:sz w:val="32"/>
          <w:szCs w:val="32"/>
          <w:highlight w:val="none"/>
        </w:rPr>
      </w:pPr>
      <w:bookmarkStart w:id="57" w:name="_Toc15377217"/>
      <w:r>
        <w:rPr>
          <w:rFonts w:hint="eastAsia" w:ascii="仿宋" w:hAnsi="仿宋" w:eastAsia="仿宋"/>
          <w:b/>
          <w:color w:val="auto"/>
          <w:sz w:val="32"/>
          <w:szCs w:val="32"/>
          <w:highlight w:val="none"/>
        </w:rPr>
        <w:t>（二）“三公”经费财政拨款支出决算具体情况说明</w:t>
      </w:r>
      <w:bookmarkEnd w:id="57"/>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7.24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93.66</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0.49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6.34</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pStyle w:val="6"/>
        <w:jc w:val="center"/>
      </w:pPr>
      <w:r>
        <w:rPr>
          <w:rFonts w:eastAsia="方正仿宋_GBK"/>
          <w:color w:val="000000"/>
          <w:sz w:val="32"/>
          <w:szCs w:val="32"/>
        </w:rPr>
        <w:drawing>
          <wp:inline distT="0" distB="0" distL="0" distR="0">
            <wp:extent cx="4715510" cy="3166110"/>
            <wp:effectExtent l="4445" t="4445" r="23495" b="10795"/>
            <wp:docPr id="9"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600" w:lineRule="exact"/>
        <w:ind w:firstLine="64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lang w:eastAsia="zh-CN"/>
        </w:rPr>
        <w:t>无</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rPr>
        <w:t>。</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7.24</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94.03</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0.13</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1.83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ascii="仿宋_GB2312" w:eastAsia="仿宋_GB2312"/>
          <w:sz w:val="32"/>
          <w:szCs w:val="32"/>
        </w:rPr>
        <w:t>本单位车辆使用年限较长</w:t>
      </w:r>
      <w:r>
        <w:rPr>
          <w:rFonts w:hint="eastAsia" w:ascii="仿宋_GB2312" w:eastAsia="仿宋_GB2312"/>
          <w:sz w:val="32"/>
          <w:szCs w:val="32"/>
        </w:rPr>
        <w:t>，车辆</w:t>
      </w:r>
      <w:r>
        <w:rPr>
          <w:rFonts w:ascii="仿宋_GB2312" w:eastAsia="仿宋_GB2312"/>
          <w:sz w:val="32"/>
          <w:szCs w:val="32"/>
        </w:rPr>
        <w:t>老化，公务</w:t>
      </w:r>
      <w:r>
        <w:rPr>
          <w:rFonts w:hint="eastAsia" w:ascii="仿宋_GB2312" w:eastAsia="仿宋_GB2312"/>
          <w:sz w:val="32"/>
          <w:szCs w:val="32"/>
        </w:rPr>
        <w:t>用车</w:t>
      </w:r>
      <w:r>
        <w:rPr>
          <w:rFonts w:ascii="仿宋_GB2312" w:eastAsia="仿宋_GB2312"/>
          <w:sz w:val="32"/>
          <w:szCs w:val="32"/>
        </w:rPr>
        <w:t>维修维护费用增加</w:t>
      </w:r>
      <w:r>
        <w:rPr>
          <w:rFonts w:hint="eastAsia" w:ascii="仿宋_GB2312" w:eastAsia="仿宋_GB2312"/>
          <w:color w:val="auto"/>
          <w:sz w:val="32"/>
          <w:szCs w:val="32"/>
          <w:highlight w:val="none"/>
        </w:rPr>
        <w:t>。</w:t>
      </w:r>
    </w:p>
    <w:p>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w:t>
      </w:r>
      <w:r>
        <w:rPr>
          <w:rFonts w:hint="eastAsia" w:ascii="仿宋_GB2312" w:eastAsia="仿宋_GB2312"/>
          <w:color w:val="auto"/>
          <w:sz w:val="32"/>
          <w:szCs w:val="32"/>
          <w:highlight w:val="none"/>
          <w:lang w:eastAsia="zh-CN"/>
        </w:rPr>
        <w:t>未</w:t>
      </w:r>
      <w:r>
        <w:rPr>
          <w:rFonts w:hint="eastAsia" w:ascii="仿宋_GB2312" w:eastAsia="仿宋_GB2312"/>
          <w:color w:val="auto"/>
          <w:sz w:val="32"/>
          <w:szCs w:val="32"/>
          <w:highlight w:val="none"/>
        </w:rPr>
        <w:t>更新购置公务用车。截至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辆，其中：越野车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p>
    <w:p>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7.24</w:t>
      </w:r>
      <w:r>
        <w:rPr>
          <w:rFonts w:hint="eastAsia" w:ascii="仿宋_GB2312" w:eastAsia="仿宋_GB2312"/>
          <w:color w:val="auto"/>
          <w:sz w:val="32"/>
          <w:szCs w:val="32"/>
          <w:highlight w:val="none"/>
        </w:rPr>
        <w:t>万元。主要用于</w:t>
      </w:r>
      <w:r>
        <w:rPr>
          <w:rFonts w:hint="eastAsia" w:ascii="仿宋_GB2312" w:eastAsia="仿宋_GB2312"/>
          <w:sz w:val="32"/>
          <w:szCs w:val="32"/>
        </w:rPr>
        <w:t>本单位开展</w:t>
      </w:r>
      <w:r>
        <w:rPr>
          <w:rFonts w:ascii="仿宋_GB2312" w:eastAsia="仿宋_GB2312"/>
          <w:sz w:val="32"/>
          <w:szCs w:val="32"/>
        </w:rPr>
        <w:t>统计调研、调查、下乡扶贫、参加重要会议</w:t>
      </w:r>
      <w:r>
        <w:rPr>
          <w:rFonts w:hint="eastAsia" w:ascii="仿宋_GB2312" w:eastAsia="仿宋_GB2312"/>
          <w:sz w:val="32"/>
          <w:szCs w:val="32"/>
          <w:lang w:eastAsia="zh-CN"/>
        </w:rPr>
        <w:t>活动</w:t>
      </w:r>
      <w:r>
        <w:rPr>
          <w:rFonts w:hint="eastAsia" w:ascii="仿宋_GB2312" w:eastAsia="仿宋_GB2312"/>
          <w:color w:val="auto"/>
          <w:sz w:val="32"/>
          <w:szCs w:val="32"/>
          <w:highlight w:val="none"/>
        </w:rPr>
        <w:t>等所需的公务用车燃料费、维修费、过路过桥费、保险费等支出。</w:t>
      </w: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0.49</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24.26</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0.07</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12.5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sz w:val="32"/>
          <w:szCs w:val="32"/>
        </w:rPr>
        <w:t>本年度</w:t>
      </w:r>
      <w:r>
        <w:rPr>
          <w:rFonts w:ascii="仿宋_GB2312" w:eastAsia="仿宋_GB2312"/>
          <w:sz w:val="32"/>
          <w:szCs w:val="32"/>
        </w:rPr>
        <w:t>公务</w:t>
      </w:r>
      <w:r>
        <w:rPr>
          <w:rFonts w:hint="eastAsia" w:ascii="仿宋_GB2312" w:eastAsia="仿宋_GB2312"/>
          <w:sz w:val="32"/>
          <w:szCs w:val="32"/>
        </w:rPr>
        <w:t>接待</w:t>
      </w:r>
      <w:r>
        <w:rPr>
          <w:rFonts w:ascii="仿宋_GB2312" w:eastAsia="仿宋_GB2312"/>
          <w:sz w:val="32"/>
          <w:szCs w:val="32"/>
        </w:rPr>
        <w:t>批次和人次</w:t>
      </w:r>
      <w:r>
        <w:rPr>
          <w:rFonts w:hint="eastAsia" w:ascii="仿宋_GB2312" w:eastAsia="仿宋_GB2312"/>
          <w:sz w:val="32"/>
          <w:szCs w:val="32"/>
        </w:rPr>
        <w:t>较</w:t>
      </w:r>
      <w:r>
        <w:rPr>
          <w:rFonts w:ascii="仿宋_GB2312" w:eastAsia="仿宋_GB2312"/>
          <w:sz w:val="32"/>
          <w:szCs w:val="32"/>
        </w:rPr>
        <w:t>上年减少</w:t>
      </w:r>
      <w:r>
        <w:rPr>
          <w:rFonts w:hint="eastAsia" w:ascii="仿宋_GB2312" w:eastAsia="仿宋_GB2312"/>
          <w:color w:val="auto"/>
          <w:sz w:val="32"/>
          <w:szCs w:val="32"/>
          <w:highlight w:val="none"/>
        </w:rPr>
        <w:t>。其中：</w:t>
      </w:r>
    </w:p>
    <w:p>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0.49</w:t>
      </w:r>
      <w:r>
        <w:rPr>
          <w:rFonts w:hint="eastAsia" w:ascii="仿宋_GB2312" w:eastAsia="仿宋_GB2312"/>
          <w:color w:val="auto"/>
          <w:sz w:val="32"/>
          <w:szCs w:val="32"/>
          <w:highlight w:val="none"/>
        </w:rPr>
        <w:t>万元，主要用于</w:t>
      </w:r>
      <w:r>
        <w:rPr>
          <w:rFonts w:hint="eastAsia" w:ascii="仿宋_GB2312" w:eastAsia="仿宋_GB2312"/>
          <w:sz w:val="32"/>
          <w:szCs w:val="32"/>
        </w:rPr>
        <w:t>接待上级主管部门和其他相关单位执行公务、开展业务活动</w:t>
      </w:r>
      <w:r>
        <w:rPr>
          <w:rFonts w:hint="eastAsia" w:ascii="仿宋_GB2312" w:eastAsia="仿宋_GB2312"/>
          <w:color w:val="auto"/>
          <w:sz w:val="32"/>
          <w:szCs w:val="32"/>
          <w:highlight w:val="none"/>
        </w:rPr>
        <w:t>餐费</w:t>
      </w:r>
      <w:r>
        <w:rPr>
          <w:rFonts w:hint="eastAsia" w:ascii="仿宋_GB2312" w:eastAsia="仿宋_GB2312"/>
          <w:color w:val="auto"/>
          <w:sz w:val="32"/>
          <w:szCs w:val="32"/>
          <w:highlight w:val="none"/>
          <w:lang w:eastAsia="zh-CN"/>
        </w:rPr>
        <w:t>支出</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39</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0.49</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eastAsia="zh-CN"/>
        </w:rPr>
        <w:t>乐山市统计局来巴开展2021年全省统计系统网络安全交叉检查支出</w:t>
      </w:r>
      <w:r>
        <w:rPr>
          <w:rFonts w:hint="eastAsia" w:ascii="仿宋_GB2312" w:eastAsia="仿宋_GB2312"/>
          <w:color w:val="auto"/>
          <w:sz w:val="32"/>
          <w:szCs w:val="32"/>
          <w:highlight w:val="none"/>
          <w:lang w:val="en-US" w:eastAsia="zh-CN"/>
        </w:rPr>
        <w:t>770.00元，绵阳市经济社会调查队来巴开展社情民意调查工作学习交流支出776.00元，省统计局来巴开展一季度经济形势调研工作支出1050.00元。省统计局来巴检查指导2022年全省统计系统运动会第三片区巴中赛事筹备相关工作支出2320.00元</w:t>
      </w:r>
      <w:r>
        <w:rPr>
          <w:rFonts w:hint="eastAsia" w:ascii="仿宋_GB2312" w:eastAsia="仿宋_GB2312"/>
          <w:color w:val="auto"/>
          <w:sz w:val="32"/>
          <w:szCs w:val="32"/>
          <w:highlight w:val="none"/>
        </w:rPr>
        <w:t>。</w:t>
      </w:r>
    </w:p>
    <w:p>
      <w:pPr>
        <w:spacing w:line="600" w:lineRule="exact"/>
        <w:ind w:firstLine="643"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bookmarkStart w:id="58" w:name="_Toc15377218"/>
      <w:bookmarkStart w:id="59" w:name="_Toc15396610"/>
    </w:p>
    <w:p>
      <w:pPr>
        <w:spacing w:line="600" w:lineRule="exact"/>
        <w:ind w:firstLine="640"/>
        <w:outlineLvl w:val="1"/>
        <w:rPr>
          <w:rStyle w:val="29"/>
          <w:rFonts w:ascii="黑体" w:hAnsi="黑体" w:eastAsia="黑体"/>
          <w:color w:val="auto"/>
          <w:highlight w:val="none"/>
        </w:rPr>
      </w:pPr>
      <w:bookmarkStart w:id="60" w:name="_Toc6418"/>
      <w:r>
        <w:rPr>
          <w:rFonts w:hint="eastAsia" w:ascii="黑体" w:eastAsia="黑体"/>
          <w:color w:val="auto"/>
          <w:sz w:val="32"/>
          <w:szCs w:val="32"/>
          <w:highlight w:val="none"/>
        </w:rPr>
        <w:t>八、</w:t>
      </w:r>
      <w:r>
        <w:rPr>
          <w:rStyle w:val="29"/>
          <w:rFonts w:hint="eastAsia" w:ascii="黑体" w:hAnsi="黑体" w:eastAsia="黑体"/>
          <w:b w:val="0"/>
          <w:color w:val="auto"/>
          <w:highlight w:val="none"/>
        </w:rPr>
        <w:t>政府性基金预算支出决算情况说明</w:t>
      </w:r>
      <w:bookmarkEnd w:id="58"/>
      <w:bookmarkEnd w:id="59"/>
      <w:bookmarkEnd w:id="60"/>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numPr>
          <w:ilvl w:val="0"/>
          <w:numId w:val="3"/>
        </w:numPr>
        <w:spacing w:line="600" w:lineRule="exact"/>
        <w:ind w:firstLine="640"/>
        <w:outlineLvl w:val="1"/>
        <w:rPr>
          <w:rStyle w:val="29"/>
          <w:rFonts w:ascii="黑体" w:hAnsi="黑体" w:eastAsia="黑体"/>
          <w:b w:val="0"/>
          <w:color w:val="auto"/>
          <w:highlight w:val="none"/>
        </w:rPr>
      </w:pPr>
      <w:bookmarkStart w:id="61" w:name="_Toc15396611"/>
      <w:bookmarkStart w:id="62" w:name="_Toc15377219"/>
      <w:bookmarkStart w:id="63" w:name="_Toc14989"/>
      <w:r>
        <w:rPr>
          <w:rStyle w:val="29"/>
          <w:rFonts w:hint="eastAsia" w:ascii="黑体" w:hAnsi="黑体" w:eastAsia="黑体"/>
          <w:b w:val="0"/>
          <w:color w:val="auto"/>
          <w:highlight w:val="none"/>
        </w:rPr>
        <w:t>国有资本经营预算支出决算情况说明</w:t>
      </w:r>
      <w:bookmarkEnd w:id="61"/>
      <w:bookmarkEnd w:id="62"/>
      <w:bookmarkEnd w:id="63"/>
    </w:p>
    <w:p>
      <w:pPr>
        <w:spacing w:line="600" w:lineRule="exact"/>
        <w:ind w:firstLine="640"/>
        <w:rPr>
          <w:rFonts w:ascii="Arial Unicode MS" w:hAnsi="Arial Unicode MS" w:eastAsia="Arial Unicode MS" w:cs="Arial Unicode MS"/>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numPr>
          <w:ilvl w:val="0"/>
          <w:numId w:val="3"/>
        </w:numPr>
        <w:spacing w:line="600" w:lineRule="exact"/>
        <w:ind w:firstLine="640"/>
        <w:outlineLvl w:val="1"/>
        <w:rPr>
          <w:rStyle w:val="29"/>
          <w:rFonts w:hint="eastAsia" w:ascii="黑体" w:hAnsi="黑体" w:eastAsia="黑体"/>
          <w:b w:val="0"/>
          <w:color w:val="auto"/>
          <w:highlight w:val="none"/>
        </w:rPr>
      </w:pPr>
      <w:bookmarkStart w:id="64" w:name="_Toc15377221"/>
      <w:bookmarkStart w:id="65" w:name="_Toc30716"/>
      <w:bookmarkStart w:id="66" w:name="_Toc15396612"/>
      <w:r>
        <w:rPr>
          <w:rStyle w:val="29"/>
          <w:rFonts w:hint="eastAsia" w:ascii="黑体" w:hAnsi="黑体" w:eastAsia="黑体"/>
          <w:b w:val="0"/>
          <w:color w:val="auto"/>
          <w:highlight w:val="none"/>
        </w:rPr>
        <w:t>其他重要事项的情况说明</w:t>
      </w:r>
      <w:bookmarkEnd w:id="64"/>
      <w:bookmarkEnd w:id="65"/>
      <w:bookmarkEnd w:id="66"/>
    </w:p>
    <w:p>
      <w:pPr>
        <w:spacing w:line="600" w:lineRule="exact"/>
        <w:ind w:firstLine="643" w:firstLineChars="200"/>
        <w:outlineLvl w:val="2"/>
        <w:rPr>
          <w:rFonts w:ascii="仿宋" w:hAnsi="仿宋" w:eastAsia="仿宋"/>
          <w:color w:val="auto"/>
          <w:sz w:val="32"/>
          <w:szCs w:val="32"/>
          <w:highlight w:val="none"/>
        </w:rPr>
      </w:pPr>
      <w:bookmarkStart w:id="67" w:name="_Toc15377222"/>
      <w:r>
        <w:rPr>
          <w:rFonts w:hint="eastAsia" w:ascii="仿宋" w:hAnsi="仿宋" w:eastAsia="仿宋"/>
          <w:b/>
          <w:color w:val="auto"/>
          <w:sz w:val="32"/>
          <w:szCs w:val="32"/>
          <w:highlight w:val="none"/>
        </w:rPr>
        <w:t>（一）机关运行经费支出情况</w:t>
      </w:r>
      <w:bookmarkEnd w:id="67"/>
    </w:p>
    <w:p>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巴中市统计局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117.84</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11.43</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10.74</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本年度人员较上年度有增加，导致机关运行经费支出增加。</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8" w:name="_Toc15377223"/>
      <w:r>
        <w:rPr>
          <w:rFonts w:hint="eastAsia" w:ascii="仿宋" w:hAnsi="仿宋" w:eastAsia="仿宋"/>
          <w:b/>
          <w:color w:val="auto"/>
          <w:sz w:val="32"/>
          <w:szCs w:val="32"/>
          <w:highlight w:val="none"/>
        </w:rPr>
        <w:t>（二）政府采购支出情况</w:t>
      </w:r>
      <w:bookmarkEnd w:id="68"/>
    </w:p>
    <w:p>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巴中市统计局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9" w:name="_Toc15377224"/>
      <w:r>
        <w:rPr>
          <w:rFonts w:hint="eastAsia" w:ascii="仿宋" w:hAnsi="仿宋" w:eastAsia="仿宋"/>
          <w:b/>
          <w:color w:val="auto"/>
          <w:sz w:val="32"/>
          <w:szCs w:val="32"/>
          <w:highlight w:val="none"/>
        </w:rPr>
        <w:t>（三）国有资产占有使用情况</w:t>
      </w:r>
      <w:bookmarkEnd w:id="69"/>
    </w:p>
    <w:p>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巴中市统计局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辆，其中：应急保障用车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个项目开展绩效监控。</w:t>
      </w:r>
    </w:p>
    <w:p>
      <w:pPr>
        <w:widowControl/>
        <w:ind w:firstLine="640" w:firstLineChars="200"/>
        <w:jc w:val="left"/>
        <w:rPr>
          <w:rFonts w:ascii="仿宋_GB2312" w:eastAsia="仿宋_GB2312"/>
          <w:b/>
          <w:color w:val="auto"/>
          <w:sz w:val="32"/>
          <w:szCs w:val="32"/>
          <w:highlight w:val="none"/>
        </w:rPr>
      </w:pPr>
      <w:r>
        <w:rPr>
          <w:rFonts w:hint="eastAsia" w:ascii="仿宋_GB2312" w:hAnsi="仿宋_GB2312" w:eastAsia="仿宋_GB2312" w:cs="仿宋_GB2312"/>
          <w:color w:val="auto"/>
          <w:sz w:val="32"/>
          <w:szCs w:val="32"/>
          <w:highlight w:val="none"/>
        </w:rPr>
        <w:t>组织对2022年度一般公共预算、政府性基金预算、国有资本经营预算、社会保险基金预算以及资本资产、债券资金等全面开展绩效自评，形成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highlight w:val="none"/>
          <w:lang w:eastAsia="zh-CN"/>
        </w:rPr>
        <w:t>巴中市统计局</w:t>
      </w:r>
      <w:r>
        <w:rPr>
          <w:rFonts w:hint="eastAsia" w:ascii="仿宋_GB2312" w:hAnsi="仿宋_GB2312" w:eastAsia="仿宋_GB2312" w:cs="仿宋_GB2312"/>
          <w:color w:val="auto"/>
          <w:sz w:val="32"/>
          <w:szCs w:val="32"/>
          <w:highlight w:val="none"/>
        </w:rPr>
        <w:t>部门整体绩效自评报告，部门整体</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绩效自评得分为</w:t>
      </w:r>
      <w:r>
        <w:rPr>
          <w:rFonts w:hint="eastAsia" w:ascii="仿宋_GB2312" w:hAnsi="仿宋_GB2312" w:eastAsia="仿宋_GB2312" w:cs="仿宋_GB2312"/>
          <w:color w:val="auto"/>
          <w:sz w:val="32"/>
          <w:szCs w:val="32"/>
          <w:highlight w:val="none"/>
          <w:lang w:val="en-US" w:eastAsia="zh-CN"/>
        </w:rPr>
        <w:t>98.50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eastAsia="zh-CN"/>
        </w:rPr>
        <w:t>本单位严格按照年初申报的预算绩效目标，规范资金使用，有效发挥了财政资金效益。</w:t>
      </w:r>
      <w:r>
        <w:rPr>
          <w:rFonts w:ascii="仿宋_GB2312" w:eastAsia="仿宋_GB2312"/>
          <w:b/>
          <w:color w:val="FF0000"/>
          <w:sz w:val="32"/>
          <w:szCs w:val="32"/>
          <w:highlight w:val="none"/>
        </w:rPr>
        <w:br w:type="page"/>
      </w:r>
    </w:p>
    <w:p>
      <w:pPr>
        <w:numPr>
          <w:ilvl w:val="0"/>
          <w:numId w:val="4"/>
        </w:numPr>
        <w:spacing w:line="600" w:lineRule="exact"/>
        <w:ind w:firstLine="660" w:firstLineChars="150"/>
        <w:jc w:val="center"/>
        <w:outlineLvl w:val="0"/>
        <w:rPr>
          <w:rStyle w:val="28"/>
          <w:rFonts w:ascii="黑体" w:hAnsi="黑体" w:eastAsia="黑体"/>
          <w:b w:val="0"/>
          <w:color w:val="auto"/>
          <w:highlight w:val="none"/>
        </w:rPr>
      </w:pPr>
      <w:bookmarkStart w:id="70" w:name="_Toc23740"/>
      <w:bookmarkStart w:id="71" w:name="_Toc15396613"/>
      <w:bookmarkStart w:id="72" w:name="_Toc15377225"/>
      <w:r>
        <w:rPr>
          <w:rFonts w:hint="eastAsia" w:ascii="黑体" w:hAnsi="黑体" w:eastAsia="黑体"/>
          <w:color w:val="auto"/>
          <w:sz w:val="44"/>
          <w:szCs w:val="44"/>
          <w:highlight w:val="none"/>
        </w:rPr>
        <w:t>名</w:t>
      </w:r>
      <w:r>
        <w:rPr>
          <w:rStyle w:val="28"/>
          <w:rFonts w:hint="eastAsia" w:ascii="黑体" w:hAnsi="黑体" w:eastAsia="黑体"/>
          <w:b w:val="0"/>
          <w:color w:val="auto"/>
          <w:highlight w:val="none"/>
        </w:rPr>
        <w:t>词解释</w:t>
      </w:r>
      <w:bookmarkEnd w:id="70"/>
      <w:bookmarkEnd w:id="71"/>
      <w:bookmarkEnd w:id="72"/>
    </w:p>
    <w:p>
      <w:pPr>
        <w:spacing w:line="600" w:lineRule="exact"/>
        <w:jc w:val="left"/>
        <w:rPr>
          <w:rFonts w:ascii="宋体"/>
          <w:b/>
          <w:color w:val="auto"/>
          <w:sz w:val="44"/>
          <w:szCs w:val="44"/>
          <w:highlight w:val="none"/>
        </w:rPr>
      </w:pPr>
    </w:p>
    <w:p>
      <w:pPr>
        <w:pStyle w:val="26"/>
        <w:spacing w:line="560" w:lineRule="exact"/>
        <w:ind w:firstLine="640" w:firstLineChars="200"/>
        <w:outlineLvl w:val="1"/>
        <w:rPr>
          <w:rFonts w:ascii="仿宋_GB2312" w:eastAsia="仿宋_GB2312"/>
          <w:color w:val="auto"/>
          <w:sz w:val="32"/>
          <w:szCs w:val="32"/>
          <w:highlight w:val="none"/>
        </w:rPr>
      </w:pPr>
      <w:bookmarkStart w:id="73" w:name="_Toc3908"/>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bookmarkEnd w:id="73"/>
    </w:p>
    <w:p>
      <w:pPr>
        <w:pStyle w:val="26"/>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pPr>
        <w:pStyle w:val="26"/>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年末结转和结余：指单位按有关规定结转到下年或以后年度继续使用的资金。</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4</w:t>
      </w:r>
      <w:r>
        <w:rPr>
          <w:rFonts w:hint="eastAsia" w:ascii="仿宋_GB2312" w:hAnsi="Calibri" w:eastAsia="仿宋_GB2312" w:cs="仿宋"/>
          <w:kern w:val="0"/>
          <w:sz w:val="32"/>
          <w:szCs w:val="32"/>
        </w:rPr>
        <w:t>.一般公共服务支出（类）统计信息事务（款）行政运行（项）: 指行政单位（包括实行公务员管理的事业单位）的基本支出。</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5</w:t>
      </w:r>
      <w:r>
        <w:rPr>
          <w:rFonts w:hint="eastAsia" w:ascii="仿宋_GB2312" w:hAnsi="Calibri" w:eastAsia="仿宋_GB2312" w:cs="仿宋"/>
          <w:kern w:val="0"/>
          <w:sz w:val="32"/>
          <w:szCs w:val="32"/>
        </w:rPr>
        <w:t>.一般公共服务支出（类）统计信息事务（款）一般行政管理事务（项）: 指行政单位（包括实行公务员管理的事业单位）未单独设置项级科目的其他项目支出。</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6</w:t>
      </w:r>
      <w:r>
        <w:rPr>
          <w:rFonts w:hint="eastAsia" w:ascii="仿宋_GB2312" w:hAnsi="Calibri" w:eastAsia="仿宋_GB2312" w:cs="仿宋"/>
          <w:kern w:val="0"/>
          <w:sz w:val="32"/>
          <w:szCs w:val="32"/>
        </w:rPr>
        <w:t>.一般公共服务支出（类）统计信息事务（款）专项统计业务（项）: 指各级统计机关在日常业务之外开展专项统计工作的支出。</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7</w:t>
      </w:r>
      <w:r>
        <w:rPr>
          <w:rFonts w:hint="eastAsia" w:ascii="仿宋_GB2312" w:hAnsi="Calibri" w:eastAsia="仿宋_GB2312" w:cs="仿宋"/>
          <w:kern w:val="0"/>
          <w:sz w:val="32"/>
          <w:szCs w:val="32"/>
        </w:rPr>
        <w:t>. 一般公共服务支出（类）统计信息事务（款）专项普查活动（项）: 指统计部门开展人口普查、经济普查、农业普查、投入产出调查等周期性普查工作的支出。</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8</w:t>
      </w:r>
      <w:r>
        <w:rPr>
          <w:rFonts w:hint="eastAsia" w:ascii="仿宋_GB2312" w:hAnsi="Calibri" w:eastAsia="仿宋_GB2312" w:cs="仿宋"/>
          <w:kern w:val="0"/>
          <w:sz w:val="32"/>
          <w:szCs w:val="32"/>
        </w:rPr>
        <w:t>.一般公共服务支出（类）统计信息事务（款）统计抽样调查（项）: 指统计抽样调查队开展各类统计调查工作的支出。</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9</w:t>
      </w:r>
      <w:r>
        <w:rPr>
          <w:rFonts w:hint="eastAsia" w:ascii="仿宋_GB2312" w:hAnsi="Calibri" w:eastAsia="仿宋_GB2312" w:cs="仿宋"/>
          <w:kern w:val="0"/>
          <w:sz w:val="32"/>
          <w:szCs w:val="32"/>
        </w:rPr>
        <w:t>.一般公共服务支出（类）统计信息事务（款）事业运行（项）: 指事业单位的基本支出，不包括行政单位（包括实行公务员管理的事业单位）后勤服务中心、医务室等附属事业单位。</w:t>
      </w:r>
    </w:p>
    <w:p>
      <w:pPr>
        <w:ind w:left="105" w:leftChars="50" w:firstLine="480" w:firstLineChars="15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10</w:t>
      </w:r>
      <w:r>
        <w:rPr>
          <w:rFonts w:hint="eastAsia" w:ascii="仿宋_GB2312" w:hAnsi="Calibri" w:eastAsia="仿宋_GB2312" w:cs="仿宋"/>
          <w:kern w:val="0"/>
          <w:sz w:val="32"/>
          <w:szCs w:val="32"/>
        </w:rPr>
        <w:t>.一般公共服务支出（类）统计信息事务（款）其他</w:t>
      </w:r>
      <w:r>
        <w:rPr>
          <w:rFonts w:ascii="仿宋_GB2312" w:hAnsi="Calibri" w:eastAsia="仿宋_GB2312" w:cs="仿宋"/>
          <w:kern w:val="0"/>
          <w:sz w:val="32"/>
          <w:szCs w:val="32"/>
        </w:rPr>
        <w:t>统计信息事务支出</w:t>
      </w:r>
      <w:r>
        <w:rPr>
          <w:rFonts w:hint="eastAsia" w:ascii="仿宋_GB2312" w:hAnsi="Calibri" w:eastAsia="仿宋_GB2312" w:cs="仿宋"/>
          <w:kern w:val="0"/>
          <w:sz w:val="32"/>
          <w:szCs w:val="32"/>
        </w:rPr>
        <w:t>（项）: 指上述</w:t>
      </w:r>
      <w:r>
        <w:rPr>
          <w:rFonts w:ascii="仿宋_GB2312" w:hAnsi="Calibri" w:eastAsia="仿宋_GB2312" w:cs="仿宋"/>
          <w:kern w:val="0"/>
          <w:sz w:val="32"/>
          <w:szCs w:val="32"/>
        </w:rPr>
        <w:t>项目以外的其他统计信息事务支出</w:t>
      </w:r>
      <w:r>
        <w:rPr>
          <w:rFonts w:hint="eastAsia" w:ascii="仿宋_GB2312" w:hAnsi="Calibri" w:eastAsia="仿宋_GB2312" w:cs="仿宋"/>
          <w:kern w:val="0"/>
          <w:sz w:val="32"/>
          <w:szCs w:val="32"/>
        </w:rPr>
        <w:t>。</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11</w:t>
      </w:r>
      <w:r>
        <w:rPr>
          <w:rFonts w:hint="eastAsia" w:ascii="仿宋_GB2312" w:hAnsi="Calibri" w:eastAsia="仿宋_GB2312" w:cs="仿宋"/>
          <w:kern w:val="0"/>
          <w:sz w:val="32"/>
          <w:szCs w:val="32"/>
        </w:rPr>
        <w:t>.社会保障和就业支出（类）行政事业单位养老支出（款）行政单位离退休（项）: 指行政单位（包括实行公务员管理的事业单位）开支的离退休经费。</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12</w:t>
      </w:r>
      <w:r>
        <w:rPr>
          <w:rFonts w:hint="eastAsia" w:ascii="仿宋_GB2312" w:hAnsi="Calibri" w:eastAsia="仿宋_GB2312" w:cs="仿宋"/>
          <w:kern w:val="0"/>
          <w:sz w:val="32"/>
          <w:szCs w:val="32"/>
        </w:rPr>
        <w:t>.社会保障和就业支出（类）行政事业单位养老支出（款）机关事业单位基本养老保险缴费支出（项）: 指机关事业单位实施养老保险制度由单位缴纳的基本养老保险费支出。</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13</w:t>
      </w:r>
      <w:r>
        <w:rPr>
          <w:rFonts w:hint="eastAsia" w:ascii="仿宋_GB2312" w:hAnsi="Calibri" w:eastAsia="仿宋_GB2312" w:cs="仿宋"/>
          <w:kern w:val="0"/>
          <w:sz w:val="32"/>
          <w:szCs w:val="32"/>
        </w:rPr>
        <w:t>.社会保障和就业支出（类）</w:t>
      </w:r>
      <w:r>
        <w:rPr>
          <w:rFonts w:hint="eastAsia" w:ascii="仿宋_GB2312" w:hAnsi="Calibri" w:eastAsia="仿宋_GB2312" w:cs="仿宋"/>
          <w:kern w:val="0"/>
          <w:sz w:val="32"/>
          <w:szCs w:val="32"/>
          <w:lang w:eastAsia="zh-CN"/>
        </w:rPr>
        <w:t>其他社会保障和就业</w:t>
      </w:r>
      <w:r>
        <w:rPr>
          <w:rFonts w:hint="eastAsia" w:ascii="仿宋_GB2312" w:hAnsi="Calibri" w:eastAsia="仿宋_GB2312" w:cs="仿宋"/>
          <w:kern w:val="0"/>
          <w:sz w:val="32"/>
          <w:szCs w:val="32"/>
        </w:rPr>
        <w:t>支出（款）其他</w:t>
      </w:r>
      <w:r>
        <w:rPr>
          <w:rFonts w:hint="eastAsia" w:ascii="仿宋_GB2312" w:hAnsi="Calibri" w:eastAsia="仿宋_GB2312" w:cs="仿宋"/>
          <w:kern w:val="0"/>
          <w:sz w:val="32"/>
          <w:szCs w:val="32"/>
          <w:lang w:eastAsia="zh-CN"/>
        </w:rPr>
        <w:t>社会保障和就业</w:t>
      </w:r>
      <w:r>
        <w:rPr>
          <w:rFonts w:hint="eastAsia" w:ascii="仿宋_GB2312" w:hAnsi="Calibri" w:eastAsia="仿宋_GB2312" w:cs="仿宋"/>
          <w:kern w:val="0"/>
          <w:sz w:val="32"/>
          <w:szCs w:val="32"/>
        </w:rPr>
        <w:t>支出（项）:</w:t>
      </w:r>
      <w:r>
        <w:rPr>
          <w:rFonts w:hint="eastAsia" w:ascii="仿宋_GB2312" w:hAnsi="Calibri" w:eastAsia="仿宋_GB2312" w:cs="仿宋"/>
          <w:kern w:val="0"/>
          <w:sz w:val="32"/>
          <w:szCs w:val="32"/>
          <w:lang w:eastAsia="zh-CN"/>
        </w:rPr>
        <w:t>指除上述项目以外其他用于保障社会保障和就业方面的支出</w:t>
      </w:r>
      <w:r>
        <w:rPr>
          <w:rFonts w:hint="eastAsia" w:ascii="仿宋_GB2312" w:hAnsi="Calibri" w:eastAsia="仿宋_GB2312" w:cs="仿宋"/>
          <w:kern w:val="0"/>
          <w:sz w:val="32"/>
          <w:szCs w:val="32"/>
        </w:rPr>
        <w:t xml:space="preserve">。 </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14</w:t>
      </w:r>
      <w:r>
        <w:rPr>
          <w:rFonts w:hint="eastAsia" w:ascii="仿宋_GB2312" w:hAnsi="Calibri" w:eastAsia="仿宋_GB2312" w:cs="仿宋"/>
          <w:kern w:val="0"/>
          <w:sz w:val="32"/>
          <w:szCs w:val="32"/>
        </w:rPr>
        <w:t>.卫生健康支出（类）行政事业单位医疗（款）行政单位医疗（项）: 指财政部门安排的行政单位（包括实行公务员管理的事业单位）基本医疗保险缴费经费，未参加医疗保险的行政单位的公费医疗经费，按国家规定享受离休人员、红军老战士待遇人员的医疗经费。</w:t>
      </w:r>
    </w:p>
    <w:p>
      <w:pPr>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15</w:t>
      </w:r>
      <w:r>
        <w:rPr>
          <w:rFonts w:hint="eastAsia" w:ascii="仿宋_GB2312" w:hAnsi="Calibri" w:eastAsia="仿宋_GB2312" w:cs="仿宋"/>
          <w:kern w:val="0"/>
          <w:sz w:val="32"/>
          <w:szCs w:val="32"/>
        </w:rPr>
        <w:t>.卫生健康支出（类）行政事业单位医疗（款）事业单位医疗（项）: 指财政部门安排的事业单位基本医疗保险缴费经费，未参加医疗保险的事业单位的公费医疗经费，按国家规定享受离休人员待遇的医疗经费。</w:t>
      </w:r>
    </w:p>
    <w:p>
      <w:pPr>
        <w:ind w:firstLine="640" w:firstLineChars="200"/>
        <w:rPr>
          <w:rFonts w:hint="eastAsia" w:ascii="仿宋_GB2312" w:hAnsi="Calibri" w:eastAsia="仿宋_GB2312" w:cs="仿宋"/>
          <w:kern w:val="0"/>
          <w:sz w:val="32"/>
          <w:szCs w:val="32"/>
        </w:rPr>
      </w:pPr>
      <w:r>
        <w:rPr>
          <w:rFonts w:hint="eastAsia" w:ascii="仿宋_GB2312" w:hAnsi="Calibri" w:eastAsia="仿宋_GB2312" w:cs="仿宋"/>
          <w:kern w:val="0"/>
          <w:sz w:val="32"/>
          <w:szCs w:val="32"/>
          <w:lang w:val="en-US" w:eastAsia="zh-CN"/>
        </w:rPr>
        <w:t>16</w:t>
      </w:r>
      <w:r>
        <w:rPr>
          <w:rFonts w:hint="eastAsia" w:ascii="仿宋_GB2312" w:hAnsi="Calibri" w:eastAsia="仿宋_GB2312" w:cs="仿宋"/>
          <w:kern w:val="0"/>
          <w:sz w:val="32"/>
          <w:szCs w:val="32"/>
        </w:rPr>
        <w:t>.卫生健康支出（类）行政事业单位医疗（款）公务员医疗补助（项）: 指财政部门安排的公务员医疗补助经费。</w:t>
      </w:r>
    </w:p>
    <w:p>
      <w:pPr>
        <w:ind w:firstLine="640" w:firstLineChars="200"/>
        <w:rPr>
          <w:rFonts w:hint="eastAsia" w:eastAsia="仿宋_GB2312"/>
          <w:lang w:eastAsia="zh-CN"/>
        </w:rPr>
      </w:pPr>
      <w:r>
        <w:rPr>
          <w:rFonts w:hint="eastAsia" w:ascii="仿宋_GB2312" w:hAnsi="Calibri" w:eastAsia="仿宋_GB2312" w:cs="仿宋"/>
          <w:kern w:val="0"/>
          <w:sz w:val="32"/>
          <w:szCs w:val="32"/>
          <w:lang w:val="en-US" w:eastAsia="zh-CN"/>
        </w:rPr>
        <w:t>17</w:t>
      </w:r>
      <w:r>
        <w:rPr>
          <w:rFonts w:hint="eastAsia" w:ascii="仿宋_GB2312" w:hAnsi="Calibri" w:eastAsia="仿宋_GB2312" w:cs="仿宋"/>
          <w:kern w:val="0"/>
          <w:sz w:val="32"/>
          <w:szCs w:val="32"/>
        </w:rPr>
        <w:t>.卫生健康支出（类）行政事业单位医疗（款）</w:t>
      </w:r>
      <w:r>
        <w:rPr>
          <w:rFonts w:hint="eastAsia" w:ascii="仿宋_GB2312" w:hAnsi="Calibri" w:eastAsia="仿宋_GB2312" w:cs="仿宋"/>
          <w:kern w:val="0"/>
          <w:sz w:val="32"/>
          <w:szCs w:val="32"/>
          <w:lang w:eastAsia="zh-CN"/>
        </w:rPr>
        <w:t>其他行政事业单位医疗支出</w:t>
      </w:r>
      <w:r>
        <w:rPr>
          <w:rFonts w:hint="eastAsia" w:ascii="仿宋_GB2312" w:hAnsi="Calibri" w:eastAsia="仿宋_GB2312" w:cs="仿宋"/>
          <w:kern w:val="0"/>
          <w:sz w:val="32"/>
          <w:szCs w:val="32"/>
        </w:rPr>
        <w:t>（项）: 指</w:t>
      </w:r>
      <w:r>
        <w:rPr>
          <w:rFonts w:hint="eastAsia" w:ascii="仿宋_GB2312" w:hAnsi="Calibri" w:eastAsia="仿宋_GB2312" w:cs="仿宋"/>
          <w:kern w:val="0"/>
          <w:sz w:val="32"/>
          <w:szCs w:val="32"/>
          <w:lang w:eastAsia="zh-CN"/>
        </w:rPr>
        <w:t>除上述项目以外的其他用于行政事业单位医疗方面的支出。</w:t>
      </w:r>
    </w:p>
    <w:p>
      <w:pPr>
        <w:ind w:firstLine="640" w:firstLineChars="200"/>
        <w:rPr>
          <w:rFonts w:ascii="仿宋" w:hAnsi="仿宋" w:eastAsia="仿宋"/>
          <w:b/>
          <w:color w:val="auto"/>
          <w:sz w:val="32"/>
          <w:szCs w:val="32"/>
          <w:highlight w:val="none"/>
        </w:rPr>
      </w:pPr>
      <w:r>
        <w:rPr>
          <w:rFonts w:hint="eastAsia" w:ascii="仿宋_GB2312" w:hAnsi="Calibri" w:eastAsia="仿宋_GB2312" w:cs="仿宋"/>
          <w:kern w:val="0"/>
          <w:sz w:val="32"/>
          <w:szCs w:val="32"/>
          <w:lang w:val="en-US" w:eastAsia="zh-CN"/>
        </w:rPr>
        <w:t>18</w:t>
      </w:r>
      <w:r>
        <w:rPr>
          <w:rFonts w:hint="eastAsia" w:ascii="仿宋_GB2312" w:hAnsi="Calibri" w:eastAsia="仿宋_GB2312" w:cs="仿宋"/>
          <w:kern w:val="0"/>
          <w:sz w:val="32"/>
          <w:szCs w:val="32"/>
        </w:rPr>
        <w:t>.住房保障支出（类）住房改革支出（款）住房公积金（项）: 指行政事业单位按人力资源和社会保障部、财政部规定的基本工资和津贴补贴以及规定比例为职工缴纳的住房公积金。</w:t>
      </w:r>
    </w:p>
    <w:p>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19</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20</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pPr>
        <w:pStyle w:val="26"/>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6"/>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22</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Fonts w:hint="eastAsia" w:ascii="黑体" w:hAnsi="黑体" w:eastAsia="黑体"/>
          <w:color w:val="auto"/>
          <w:sz w:val="44"/>
          <w:szCs w:val="44"/>
          <w:highlight w:val="none"/>
        </w:rPr>
      </w:pPr>
      <w:bookmarkStart w:id="74" w:name="_Toc28035"/>
      <w:bookmarkStart w:id="75" w:name="_Toc15396614"/>
      <w:bookmarkStart w:id="76" w:name="_Toc15377226"/>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Fonts w:hint="eastAsia" w:ascii="黑体" w:hAnsi="黑体" w:eastAsia="黑体"/>
          <w:color w:val="auto"/>
          <w:sz w:val="44"/>
          <w:szCs w:val="44"/>
          <w:highlight w:val="none"/>
        </w:rPr>
      </w:pPr>
    </w:p>
    <w:p>
      <w:pPr>
        <w:spacing w:line="600" w:lineRule="exact"/>
        <w:jc w:val="center"/>
        <w:outlineLvl w:val="0"/>
        <w:rPr>
          <w:rStyle w:val="28"/>
          <w:rFonts w:hint="eastAsia" w:ascii="黑体" w:hAnsi="黑体" w:eastAsia="黑体"/>
          <w:b w:val="0"/>
          <w:color w:val="auto"/>
          <w:highlight w:val="none"/>
          <w:lang w:eastAsia="zh-CN"/>
        </w:rPr>
      </w:pPr>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四部分 附件</w:t>
      </w:r>
      <w:bookmarkEnd w:id="74"/>
      <w:bookmarkEnd w:id="75"/>
    </w:p>
    <w:p>
      <w:pPr>
        <w:keepNext w:val="0"/>
        <w:keepLines w:val="0"/>
        <w:pageBreakBefore w:val="0"/>
        <w:kinsoku/>
        <w:wordWrap/>
        <w:overflowPunct/>
        <w:topLinePunct w:val="0"/>
        <w:autoSpaceDE/>
        <w:autoSpaceDN/>
        <w:bidi w:val="0"/>
        <w:spacing w:line="572" w:lineRule="exact"/>
        <w:jc w:val="left"/>
        <w:textAlignment w:val="auto"/>
        <w:outlineLvl w:val="1"/>
        <w:rPr>
          <w:rFonts w:ascii="Arial Unicode MS" w:hAnsi="Arial Unicode MS" w:eastAsia="Arial Unicode MS" w:cs="Arial Unicode MS"/>
          <w:color w:val="auto"/>
          <w:sz w:val="44"/>
          <w:szCs w:val="44"/>
          <w:highlight w:val="none"/>
        </w:rPr>
      </w:pPr>
      <w:bookmarkStart w:id="77" w:name="_Toc26800"/>
      <w:r>
        <w:rPr>
          <w:rFonts w:hint="eastAsia" w:ascii="黑体" w:hAnsi="黑体" w:eastAsia="黑体" w:cs="黑体"/>
          <w:color w:val="auto"/>
          <w:sz w:val="32"/>
          <w:szCs w:val="32"/>
          <w:highlight w:val="none"/>
        </w:rPr>
        <w:t>附件</w:t>
      </w:r>
      <w:bookmarkEnd w:id="77"/>
    </w:p>
    <w:p>
      <w:pPr>
        <w:pageBreakBefore w:val="0"/>
        <w:kinsoku/>
        <w:wordWrap/>
        <w:overflowPunct/>
        <w:topLinePunct w:val="0"/>
        <w:autoSpaceDE/>
        <w:autoSpaceDN/>
        <w:bidi w:val="0"/>
        <w:adjustRightInd/>
        <w:spacing w:line="576" w:lineRule="exact"/>
        <w:jc w:val="center"/>
        <w:textAlignment w:val="auto"/>
        <w:rPr>
          <w:rFonts w:hint="eastAsia" w:ascii="Arial Unicode MS" w:hAnsi="Arial Unicode MS" w:eastAsia="Arial Unicode MS" w:cs="Arial Unicode MS"/>
          <w:sz w:val="40"/>
          <w:szCs w:val="40"/>
          <w:shd w:val="clear" w:color="auto" w:fill="FFFFFF"/>
        </w:rPr>
      </w:pPr>
      <w:r>
        <w:rPr>
          <w:rFonts w:hint="eastAsia" w:ascii="Arial Unicode MS" w:hAnsi="Arial Unicode MS" w:eastAsia="Arial Unicode MS" w:cs="Arial Unicode MS"/>
          <w:sz w:val="40"/>
          <w:szCs w:val="40"/>
          <w:shd w:val="clear" w:color="auto" w:fill="FFFFFF"/>
          <w:lang w:eastAsia="zh-CN"/>
        </w:rPr>
        <w:t>巴中市统计局</w:t>
      </w:r>
      <w:r>
        <w:rPr>
          <w:rFonts w:hint="eastAsia" w:ascii="Arial Unicode MS" w:hAnsi="Arial Unicode MS" w:eastAsia="Arial Unicode MS" w:cs="Arial Unicode MS"/>
          <w:sz w:val="40"/>
          <w:szCs w:val="40"/>
          <w:shd w:val="clear" w:color="auto" w:fill="FFFFFF"/>
        </w:rPr>
        <w:t>整体支出绩效评价报告</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仿宋简体" w:cs="宋体"/>
          <w:color w:val="000000"/>
          <w:sz w:val="32"/>
          <w:szCs w:val="32"/>
          <w:shd w:val="clear" w:color="auto" w:fill="FFFFFF"/>
          <w:lang w:bidi="ar-SA"/>
        </w:rPr>
      </w:pP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黑体_GBK" w:cs="方正黑体_GBK"/>
          <w:color w:val="000000"/>
          <w:sz w:val="32"/>
          <w:szCs w:val="32"/>
          <w:shd w:val="clear" w:color="auto" w:fill="FFFFFF"/>
          <w:lang w:val="zh-CN" w:eastAsia="zh-CN" w:bidi="ar-SA"/>
        </w:rPr>
      </w:pPr>
      <w:r>
        <w:rPr>
          <w:rFonts w:hint="eastAsia" w:ascii="Times New Roman" w:hAnsi="Times New Roman" w:eastAsia="方正黑体_GBK" w:cs="方正黑体_GBK"/>
          <w:color w:val="000000"/>
          <w:sz w:val="32"/>
          <w:szCs w:val="32"/>
          <w:shd w:val="clear" w:color="auto" w:fill="FFFFFF"/>
          <w:lang w:bidi="ar-SA"/>
        </w:rPr>
        <w:t>一、</w:t>
      </w:r>
      <w:r>
        <w:rPr>
          <w:rFonts w:hint="eastAsia" w:ascii="Times New Roman" w:hAnsi="Times New Roman" w:eastAsia="方正黑体_GBK" w:cs="方正黑体_GBK"/>
          <w:color w:val="000000"/>
          <w:sz w:val="32"/>
          <w:szCs w:val="32"/>
          <w:shd w:val="clear" w:color="auto" w:fill="FFFFFF"/>
          <w:lang w:val="zh-CN" w:eastAsia="zh-CN" w:bidi="ar-SA"/>
        </w:rPr>
        <w:t>部门概况</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（一）机构组成</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仿宋_GBK" w:cs="宋体"/>
          <w:color w:val="000000"/>
          <w:sz w:val="32"/>
          <w:szCs w:val="32"/>
          <w:shd w:val="clear" w:color="auto" w:fill="FFFFFF"/>
          <w:lang w:val="zh-CN" w:eastAsia="zh-CN" w:bidi="ar-SA"/>
        </w:rPr>
      </w:pPr>
      <w:r>
        <w:rPr>
          <w:rFonts w:hint="eastAsia" w:ascii="Times New Roman" w:hAnsi="Times New Roman" w:eastAsia="方正仿宋_GBK"/>
          <w:sz w:val="32"/>
          <w:szCs w:val="32"/>
        </w:rPr>
        <w:t>巴中市统计局下属二级预算单位4个，其中行政单位1个，参照公务员法管理的事业单位2个，其他事业单位1个。</w:t>
      </w:r>
      <w:r>
        <w:rPr>
          <w:rFonts w:hint="eastAsia" w:ascii="Times New Roman" w:hAnsi="Times New Roman" w:eastAsia="方正仿宋_GBK"/>
          <w:sz w:val="32"/>
          <w:szCs w:val="32"/>
          <w:lang w:eastAsia="zh-CN"/>
        </w:rPr>
        <w:t>主要包括：巴中市统计局机关、巴中市普查中心、巴中市社情民意调查中心、巴中市统计大数据中心。局</w:t>
      </w:r>
      <w:r>
        <w:rPr>
          <w:rFonts w:hint="eastAsia" w:ascii="Times New Roman" w:hAnsi="Times New Roman" w:eastAsia="方正仿宋_GBK"/>
          <w:sz w:val="32"/>
          <w:szCs w:val="32"/>
          <w:lang w:val="zh-CN" w:eastAsia="zh-CN"/>
        </w:rPr>
        <w:t>机关下设公室、政策法规科（统计执法监督局）、综合统计科、服务业统计科、投资统计科、农村经济统计科、工业能源统计科、人口社会和科技统计科等8个职能科室。</w:t>
      </w:r>
    </w:p>
    <w:p>
      <w:pPr>
        <w:pageBreakBefore w:val="0"/>
        <w:numPr>
          <w:ilvl w:val="0"/>
          <w:numId w:val="5"/>
        </w:numPr>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机构职能</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sz w:val="32"/>
          <w:szCs w:val="32"/>
        </w:rPr>
        <w:t>贯彻执行国家有关统计工作的法律、法规，草拟全市统计工作的规章、制度、统计现代化建设规划和统计调查计划，组织领导和监督检查全市各县区、部门的统计和国民经济核算工作，监督检查统计法律、法规的实施。负责组织、协调本行政区域内的统计登记。 　　</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2.建立健全全市国民经济核算体系和统计指标体系，建立和管理全市基本统计报表，制定全市统计标准，审定部门统计标准，管理统计调查项目，审批调查方案。 　　</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3.组织实施全市重大国情国力普查和专项调查，汇总、整理全市基本统计资料，对国民经济、科技进步和社会发展情况进行统计分析、预测和监督，组织非公有制经济调查。向市委、市政府以及有关部门提供统计信息和咨询建议。　　</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4.统一核定、管理、发布全市的基本统计资料，定期向社会公众发布全市性国民经济和社会发展情况的统计信息。 　　</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5.建立健全和管理全市统计信息自动化建设系统和统计数据库体系，制定统计数据库网络的基本标准和运行规定。　　</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6.组织管理全市统计专业资格考试和职称评定、统计系统公务员业务培训、统计专业人员岗位培训和继续教育工作。 　　</w:t>
      </w:r>
    </w:p>
    <w:p>
      <w:pPr>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7.承办</w:t>
      </w:r>
      <w:r>
        <w:rPr>
          <w:rFonts w:hint="eastAsia" w:ascii="Times New Roman" w:hAnsi="Times New Roman" w:eastAsia="方正仿宋_GBK"/>
          <w:color w:val="auto"/>
          <w:sz w:val="32"/>
          <w:szCs w:val="32"/>
          <w:lang w:val="en-US" w:eastAsia="zh-CN"/>
        </w:rPr>
        <w:t>市委、</w:t>
      </w:r>
      <w:r>
        <w:rPr>
          <w:rFonts w:hint="eastAsia" w:ascii="Times New Roman" w:hAnsi="Times New Roman" w:eastAsia="方正仿宋_GBK"/>
          <w:color w:val="auto"/>
          <w:sz w:val="32"/>
          <w:szCs w:val="32"/>
        </w:rPr>
        <w:t>市政</w:t>
      </w:r>
      <w:r>
        <w:rPr>
          <w:rFonts w:hint="eastAsia" w:ascii="Times New Roman" w:hAnsi="Times New Roman" w:eastAsia="方正仿宋_GBK"/>
          <w:sz w:val="32"/>
          <w:szCs w:val="32"/>
        </w:rPr>
        <w:t>府交办的其他事项。　</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（三）人员概况</w:t>
      </w:r>
    </w:p>
    <w:p>
      <w:pPr>
        <w:pageBreakBefore w:val="0"/>
        <w:kinsoku/>
        <w:wordWrap/>
        <w:overflowPunct/>
        <w:topLinePunct w:val="0"/>
        <w:autoSpaceDE/>
        <w:autoSpaceDN/>
        <w:bidi w:val="0"/>
        <w:adjustRightInd/>
        <w:snapToGrid w:val="0"/>
        <w:spacing w:line="576" w:lineRule="exact"/>
        <w:ind w:firstLine="640" w:firstLineChars="20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仿宋_GBK"/>
          <w:sz w:val="32"/>
          <w:szCs w:val="32"/>
        </w:rPr>
        <w:t>截止202</w:t>
      </w:r>
      <w:r>
        <w:rPr>
          <w:rFonts w:ascii="Times New Roman" w:hAnsi="Times New Roman" w:eastAsia="方正仿宋_GBK"/>
          <w:sz w:val="32"/>
          <w:szCs w:val="32"/>
        </w:rPr>
        <w:t>2</w:t>
      </w:r>
      <w:r>
        <w:rPr>
          <w:rFonts w:hint="eastAsia" w:ascii="Times New Roman" w:hAnsi="Times New Roman" w:eastAsia="方正仿宋_GBK"/>
          <w:sz w:val="32"/>
          <w:szCs w:val="32"/>
        </w:rPr>
        <w:t>年末，全局共有在职职工</w:t>
      </w:r>
      <w:r>
        <w:rPr>
          <w:rFonts w:ascii="Times New Roman" w:hAnsi="Times New Roman" w:eastAsia="方正仿宋_GBK"/>
          <w:sz w:val="32"/>
          <w:szCs w:val="32"/>
        </w:rPr>
        <w:t>43</w:t>
      </w:r>
      <w:r>
        <w:rPr>
          <w:rFonts w:hint="eastAsia" w:ascii="Times New Roman" w:hAnsi="Times New Roman" w:eastAsia="方正仿宋_GBK"/>
          <w:sz w:val="32"/>
          <w:szCs w:val="32"/>
        </w:rPr>
        <w:t>人。在职职工中有行编1</w:t>
      </w:r>
      <w:r>
        <w:rPr>
          <w:rFonts w:ascii="Times New Roman" w:hAnsi="Times New Roman" w:eastAsia="方正仿宋_GBK"/>
          <w:sz w:val="32"/>
          <w:szCs w:val="32"/>
        </w:rPr>
        <w:t>5</w:t>
      </w:r>
      <w:r>
        <w:rPr>
          <w:rFonts w:hint="eastAsia" w:ascii="Times New Roman" w:hAnsi="Times New Roman" w:eastAsia="方正仿宋_GBK"/>
          <w:sz w:val="32"/>
          <w:szCs w:val="32"/>
        </w:rPr>
        <w:t>人，机关工勤编制3人，事业编制20人（其中：参公管理12人），县处级以上领导干部8人，公益性岗位工作人员</w:t>
      </w:r>
      <w:r>
        <w:rPr>
          <w:rFonts w:ascii="Times New Roman" w:hAnsi="Times New Roman" w:eastAsia="方正仿宋_GBK"/>
          <w:sz w:val="32"/>
          <w:szCs w:val="32"/>
        </w:rPr>
        <w:t>5</w:t>
      </w:r>
      <w:r>
        <w:rPr>
          <w:rFonts w:hint="eastAsia" w:ascii="Times New Roman" w:hAnsi="Times New Roman" w:eastAsia="方正仿宋_GBK"/>
          <w:sz w:val="32"/>
          <w:szCs w:val="32"/>
        </w:rPr>
        <w:t>名。</w:t>
      </w:r>
      <w:r>
        <w:rPr>
          <w:rFonts w:hint="eastAsia" w:ascii="Times New Roman" w:hAnsi="Times New Roman" w:eastAsia="方正仿宋_GBK"/>
          <w:sz w:val="32"/>
          <w:szCs w:val="32"/>
          <w:lang w:eastAsia="zh-CN"/>
        </w:rPr>
        <w:t>年中调出</w:t>
      </w:r>
      <w:r>
        <w:rPr>
          <w:rFonts w:hint="eastAsia" w:ascii="Times New Roman" w:hAnsi="Times New Roman" w:eastAsia="方正仿宋_GBK"/>
          <w:sz w:val="32"/>
          <w:szCs w:val="32"/>
          <w:lang w:val="en-US" w:eastAsia="zh-CN"/>
        </w:rPr>
        <w:t>1人，调入1人，</w:t>
      </w:r>
      <w:r>
        <w:rPr>
          <w:rFonts w:hint="eastAsia" w:ascii="Times New Roman" w:hAnsi="Times New Roman" w:eastAsia="方正仿宋_GBK"/>
          <w:sz w:val="32"/>
          <w:szCs w:val="32"/>
        </w:rPr>
        <w:t>与</w:t>
      </w:r>
      <w:r>
        <w:rPr>
          <w:rFonts w:hint="eastAsia" w:ascii="Times New Roman" w:hAnsi="Times New Roman" w:eastAsia="方正仿宋_GBK"/>
          <w:sz w:val="32"/>
          <w:szCs w:val="32"/>
          <w:lang w:val="en-US" w:eastAsia="zh-CN"/>
        </w:rPr>
        <w:t>2021年</w:t>
      </w:r>
      <w:r>
        <w:rPr>
          <w:rFonts w:hint="eastAsia" w:ascii="Times New Roman" w:hAnsi="Times New Roman" w:eastAsia="方正仿宋_GBK"/>
          <w:sz w:val="32"/>
          <w:szCs w:val="32"/>
        </w:rPr>
        <w:t>年末相比，增加1名参公事业人员、1名事业人员、</w:t>
      </w:r>
      <w:r>
        <w:rPr>
          <w:rFonts w:ascii="Times New Roman" w:hAnsi="Times New Roman" w:eastAsia="方正仿宋_GBK"/>
          <w:sz w:val="32"/>
          <w:szCs w:val="32"/>
        </w:rPr>
        <w:t>4</w:t>
      </w:r>
      <w:r>
        <w:rPr>
          <w:rFonts w:hint="eastAsia" w:ascii="Times New Roman" w:hAnsi="Times New Roman" w:eastAsia="方正仿宋_GBK"/>
          <w:sz w:val="32"/>
          <w:szCs w:val="32"/>
        </w:rPr>
        <w:t>名</w:t>
      </w:r>
      <w:r>
        <w:rPr>
          <w:rFonts w:ascii="Times New Roman" w:hAnsi="Times New Roman" w:eastAsia="方正仿宋_GBK"/>
          <w:sz w:val="32"/>
          <w:szCs w:val="32"/>
        </w:rPr>
        <w:t>公益性岗位</w:t>
      </w:r>
      <w:r>
        <w:rPr>
          <w:rFonts w:hint="eastAsia" w:ascii="Times New Roman" w:hAnsi="Times New Roman" w:eastAsia="方正仿宋_GBK"/>
          <w:sz w:val="32"/>
          <w:szCs w:val="32"/>
          <w:lang w:eastAsia="zh-CN"/>
        </w:rPr>
        <w:t>工作</w:t>
      </w:r>
      <w:r>
        <w:rPr>
          <w:rFonts w:ascii="Times New Roman" w:hAnsi="Times New Roman" w:eastAsia="方正仿宋_GBK"/>
          <w:sz w:val="32"/>
          <w:szCs w:val="32"/>
        </w:rPr>
        <w:t>人员</w:t>
      </w:r>
      <w:r>
        <w:rPr>
          <w:rFonts w:hint="eastAsia" w:ascii="Times New Roman" w:hAnsi="Times New Roman" w:eastAsia="方正仿宋_GBK"/>
          <w:sz w:val="32"/>
          <w:szCs w:val="32"/>
        </w:rPr>
        <w:t>。</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黑体_GBK" w:cs="方正黑体_GBK"/>
          <w:color w:val="000000"/>
          <w:sz w:val="32"/>
          <w:szCs w:val="32"/>
          <w:shd w:val="clear" w:color="auto" w:fill="FFFFFF"/>
          <w:lang w:val="zh-CN" w:eastAsia="zh-CN" w:bidi="ar-SA"/>
        </w:rPr>
      </w:pPr>
      <w:r>
        <w:rPr>
          <w:rFonts w:hint="eastAsia" w:ascii="Times New Roman" w:hAnsi="Times New Roman" w:eastAsia="方正黑体_GBK" w:cs="方正黑体_GBK"/>
          <w:color w:val="000000"/>
          <w:sz w:val="32"/>
          <w:szCs w:val="32"/>
          <w:shd w:val="clear" w:color="auto" w:fill="FFFFFF"/>
          <w:lang w:val="zh-CN" w:eastAsia="zh-CN" w:bidi="ar-SA"/>
        </w:rPr>
        <w:t>二、部门财政资金收支情况</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（一）部门财政资金收入情况</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仿宋_GBK"/>
          <w:sz w:val="32"/>
          <w:szCs w:val="32"/>
        </w:rPr>
        <w:t>202</w:t>
      </w:r>
      <w:r>
        <w:rPr>
          <w:rFonts w:ascii="Times New Roman" w:hAnsi="Times New Roman" w:eastAsia="方正仿宋_GBK"/>
          <w:sz w:val="32"/>
          <w:szCs w:val="32"/>
        </w:rPr>
        <w:t>2</w:t>
      </w:r>
      <w:r>
        <w:rPr>
          <w:rFonts w:hint="eastAsia" w:ascii="Times New Roman" w:hAnsi="Times New Roman" w:eastAsia="方正仿宋_GBK"/>
          <w:sz w:val="32"/>
          <w:szCs w:val="32"/>
        </w:rPr>
        <w:t>年本单位</w:t>
      </w:r>
      <w:r>
        <w:rPr>
          <w:rFonts w:ascii="Times New Roman" w:hAnsi="Times New Roman" w:eastAsia="方正仿宋_GBK"/>
          <w:sz w:val="32"/>
          <w:szCs w:val="32"/>
        </w:rPr>
        <w:t>收入</w:t>
      </w:r>
      <w:r>
        <w:rPr>
          <w:rFonts w:hint="eastAsia" w:ascii="Times New Roman" w:hAnsi="Times New Roman" w:eastAsia="方正仿宋_GBK"/>
          <w:sz w:val="32"/>
          <w:szCs w:val="32"/>
          <w:lang w:eastAsia="zh-CN"/>
        </w:rPr>
        <w:t>总计</w:t>
      </w:r>
      <w:r>
        <w:rPr>
          <w:rFonts w:ascii="Times New Roman" w:hAnsi="Times New Roman" w:eastAsia="方正仿宋_GBK"/>
          <w:sz w:val="32"/>
          <w:szCs w:val="32"/>
        </w:rPr>
        <w:t>8</w:t>
      </w:r>
      <w:r>
        <w:rPr>
          <w:rFonts w:hint="eastAsia" w:ascii="Times New Roman" w:hAnsi="Times New Roman" w:eastAsia="方正仿宋_GBK"/>
          <w:sz w:val="32"/>
          <w:szCs w:val="32"/>
          <w:lang w:val="en-US" w:eastAsia="zh-CN"/>
        </w:rPr>
        <w:t>8</w:t>
      </w:r>
      <w:r>
        <w:rPr>
          <w:rFonts w:ascii="Times New Roman" w:hAnsi="Times New Roman" w:eastAsia="方正仿宋_GBK"/>
          <w:sz w:val="32"/>
          <w:szCs w:val="32"/>
        </w:rPr>
        <w:t>0.68</w:t>
      </w:r>
      <w:r>
        <w:rPr>
          <w:rFonts w:hint="eastAsia" w:ascii="Times New Roman" w:hAnsi="Times New Roman" w:eastAsia="方正仿宋_GBK"/>
          <w:sz w:val="32"/>
          <w:szCs w:val="32"/>
        </w:rPr>
        <w:t>万元</w:t>
      </w:r>
      <w:r>
        <w:rPr>
          <w:rFonts w:ascii="Times New Roman" w:hAnsi="Times New Roman" w:eastAsia="方正仿宋_GBK"/>
          <w:sz w:val="32"/>
          <w:szCs w:val="32"/>
        </w:rPr>
        <w:t>，</w:t>
      </w:r>
      <w:r>
        <w:rPr>
          <w:rFonts w:hint="eastAsia" w:ascii="Times New Roman" w:hAnsi="Times New Roman" w:eastAsia="方正仿宋_GBK"/>
          <w:sz w:val="32"/>
          <w:szCs w:val="32"/>
        </w:rPr>
        <w:t>全部</w:t>
      </w:r>
      <w:r>
        <w:rPr>
          <w:rFonts w:ascii="Times New Roman" w:hAnsi="Times New Roman" w:eastAsia="方正仿宋_GBK"/>
          <w:sz w:val="32"/>
          <w:szCs w:val="32"/>
        </w:rPr>
        <w:t>为一般公共预算</w:t>
      </w:r>
      <w:r>
        <w:rPr>
          <w:rFonts w:hint="eastAsia" w:ascii="Times New Roman" w:hAnsi="Times New Roman" w:eastAsia="方正仿宋_GBK"/>
          <w:sz w:val="32"/>
          <w:szCs w:val="32"/>
        </w:rPr>
        <w:t>拨款</w:t>
      </w:r>
      <w:r>
        <w:rPr>
          <w:rFonts w:ascii="Times New Roman" w:hAnsi="Times New Roman" w:eastAsia="方正仿宋_GBK"/>
          <w:sz w:val="32"/>
          <w:szCs w:val="32"/>
        </w:rPr>
        <w:t>收入，</w:t>
      </w:r>
      <w:r>
        <w:rPr>
          <w:rFonts w:hint="eastAsia" w:ascii="Times New Roman" w:hAnsi="Times New Roman" w:eastAsia="方正仿宋_GBK"/>
          <w:sz w:val="32"/>
          <w:szCs w:val="32"/>
          <w:lang w:val="zh-CN"/>
        </w:rPr>
        <w:t>其中以前年度结转资金</w:t>
      </w:r>
      <w:r>
        <w:rPr>
          <w:rFonts w:hint="eastAsia" w:ascii="Times New Roman" w:hAnsi="Times New Roman" w:eastAsia="方正仿宋_GBK"/>
          <w:sz w:val="32"/>
          <w:szCs w:val="32"/>
          <w:lang w:val="en-US" w:eastAsia="zh-CN"/>
        </w:rPr>
        <w:t>20.00</w:t>
      </w:r>
      <w:r>
        <w:rPr>
          <w:rFonts w:hint="eastAsia" w:ascii="Times New Roman" w:hAnsi="Times New Roman" w:eastAsia="方正仿宋_GBK"/>
          <w:sz w:val="32"/>
          <w:szCs w:val="32"/>
          <w:lang w:val="zh-CN"/>
        </w:rPr>
        <w:t>万元，年初预算</w:t>
      </w:r>
      <w:r>
        <w:rPr>
          <w:rFonts w:hint="eastAsia" w:ascii="Times New Roman" w:hAnsi="Times New Roman" w:eastAsia="方正仿宋_GBK"/>
          <w:sz w:val="32"/>
          <w:szCs w:val="32"/>
          <w:lang w:val="en-US" w:eastAsia="zh-CN"/>
        </w:rPr>
        <w:t>619.15</w:t>
      </w:r>
      <w:r>
        <w:rPr>
          <w:rFonts w:hint="eastAsia" w:ascii="Times New Roman" w:hAnsi="Times New Roman" w:eastAsia="方正仿宋_GBK"/>
          <w:sz w:val="32"/>
          <w:szCs w:val="32"/>
          <w:lang w:val="zh-CN"/>
        </w:rPr>
        <w:t>万元，调整预算</w:t>
      </w:r>
      <w:r>
        <w:rPr>
          <w:rFonts w:hint="eastAsia" w:ascii="Times New Roman" w:hAnsi="Times New Roman" w:eastAsia="方正仿宋_GBK"/>
          <w:sz w:val="32"/>
          <w:szCs w:val="32"/>
          <w:lang w:val="en-US" w:eastAsia="zh-CN"/>
        </w:rPr>
        <w:t>860.68</w:t>
      </w:r>
      <w:r>
        <w:rPr>
          <w:rFonts w:hint="eastAsia" w:ascii="Times New Roman" w:hAnsi="Times New Roman" w:eastAsia="方正仿宋_GBK"/>
          <w:sz w:val="32"/>
          <w:szCs w:val="32"/>
          <w:lang w:val="zh-CN"/>
        </w:rPr>
        <w:t>万元。</w:t>
      </w:r>
    </w:p>
    <w:p>
      <w:pPr>
        <w:pageBreakBefore w:val="0"/>
        <w:numPr>
          <w:ilvl w:val="0"/>
          <w:numId w:val="6"/>
        </w:numPr>
        <w:kinsoku/>
        <w:wordWrap/>
        <w:overflowPunct/>
        <w:topLinePunct w:val="0"/>
        <w:autoSpaceDE/>
        <w:autoSpaceDN/>
        <w:bidi w:val="0"/>
        <w:adjustRightInd/>
        <w:spacing w:line="576" w:lineRule="exact"/>
        <w:ind w:left="0" w:leftChars="0" w:firstLine="720" w:firstLineChars="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部门财政资金支出情况</w:t>
      </w:r>
    </w:p>
    <w:p>
      <w:pPr>
        <w:pageBreakBefore w:val="0"/>
        <w:numPr>
          <w:ilvl w:val="0"/>
          <w:numId w:val="0"/>
        </w:numPr>
        <w:kinsoku/>
        <w:wordWrap/>
        <w:overflowPunct/>
        <w:topLinePunct w:val="0"/>
        <w:autoSpaceDE/>
        <w:autoSpaceDN/>
        <w:bidi w:val="0"/>
        <w:adjustRightInd/>
        <w:spacing w:line="576" w:lineRule="exact"/>
        <w:ind w:left="720" w:leftChars="0"/>
        <w:jc w:val="both"/>
        <w:textAlignment w:val="auto"/>
        <w:rPr>
          <w:rFonts w:ascii="Times New Roman" w:hAnsi="Times New Roman" w:eastAsia="方正仿宋_GBK"/>
          <w:sz w:val="32"/>
          <w:szCs w:val="32"/>
        </w:rPr>
      </w:pPr>
      <w:r>
        <w:rPr>
          <w:rFonts w:hint="eastAsia" w:ascii="Times New Roman" w:hAnsi="Times New Roman" w:eastAsia="方正仿宋_GBK"/>
          <w:sz w:val="32"/>
          <w:szCs w:val="32"/>
          <w:lang w:val="en-US" w:eastAsia="zh-CN"/>
        </w:rPr>
        <w:t>2022年本单位</w:t>
      </w:r>
      <w:r>
        <w:rPr>
          <w:rFonts w:hint="eastAsia" w:ascii="Times New Roman" w:hAnsi="Times New Roman" w:eastAsia="方正仿宋_GBK"/>
          <w:sz w:val="32"/>
          <w:szCs w:val="32"/>
        </w:rPr>
        <w:t>本年</w:t>
      </w:r>
      <w:r>
        <w:rPr>
          <w:rFonts w:ascii="Times New Roman" w:hAnsi="Times New Roman" w:eastAsia="方正仿宋_GBK"/>
          <w:sz w:val="32"/>
          <w:szCs w:val="32"/>
        </w:rPr>
        <w:t>支出880.68</w:t>
      </w:r>
      <w:r>
        <w:rPr>
          <w:rFonts w:hint="eastAsia" w:ascii="Times New Roman" w:hAnsi="Times New Roman" w:eastAsia="方正仿宋_GBK"/>
          <w:sz w:val="32"/>
          <w:szCs w:val="32"/>
        </w:rPr>
        <w:t>万元</w:t>
      </w:r>
      <w:r>
        <w:rPr>
          <w:rFonts w:ascii="Times New Roman" w:hAnsi="Times New Roman" w:eastAsia="方正仿宋_GBK"/>
          <w:sz w:val="32"/>
          <w:szCs w:val="32"/>
        </w:rPr>
        <w:t>，</w:t>
      </w:r>
      <w:r>
        <w:rPr>
          <w:rFonts w:hint="eastAsia" w:ascii="Times New Roman" w:hAnsi="Times New Roman" w:eastAsia="方正仿宋_GBK"/>
          <w:sz w:val="32"/>
          <w:szCs w:val="32"/>
          <w:lang w:eastAsia="zh-CN"/>
        </w:rPr>
        <w:t>其中</w:t>
      </w:r>
      <w:r>
        <w:rPr>
          <w:rFonts w:ascii="Times New Roman" w:hAnsi="Times New Roman" w:eastAsia="方正仿宋_GBK"/>
          <w:sz w:val="32"/>
          <w:szCs w:val="32"/>
        </w:rPr>
        <w:t>：</w:t>
      </w:r>
      <w:r>
        <w:rPr>
          <w:rFonts w:hint="eastAsia" w:ascii="Times New Roman" w:hAnsi="Times New Roman" w:eastAsia="方正仿宋_GBK"/>
          <w:sz w:val="32"/>
          <w:szCs w:val="32"/>
        </w:rPr>
        <w:t>基本</w:t>
      </w:r>
      <w:r>
        <w:rPr>
          <w:rFonts w:ascii="Times New Roman" w:hAnsi="Times New Roman" w:eastAsia="方正仿宋_GBK"/>
          <w:sz w:val="32"/>
          <w:szCs w:val="32"/>
        </w:rPr>
        <w:t>支出</w:t>
      </w:r>
    </w:p>
    <w:p>
      <w:pPr>
        <w:pageBreakBefore w:val="0"/>
        <w:numPr>
          <w:ilvl w:val="0"/>
          <w:numId w:val="0"/>
        </w:numPr>
        <w:kinsoku/>
        <w:wordWrap/>
        <w:overflowPunct/>
        <w:topLinePunct w:val="0"/>
        <w:autoSpaceDE/>
        <w:autoSpaceDN/>
        <w:bidi w:val="0"/>
        <w:adjustRightInd/>
        <w:spacing w:line="576" w:lineRule="exact"/>
        <w:jc w:val="both"/>
        <w:textAlignment w:val="auto"/>
        <w:rPr>
          <w:rFonts w:hint="eastAsia" w:ascii="Times New Roman" w:hAnsi="Times New Roman" w:eastAsia="方正仿宋_GBK" w:cs="宋体"/>
          <w:color w:val="000000"/>
          <w:sz w:val="32"/>
          <w:szCs w:val="32"/>
          <w:shd w:val="clear" w:color="auto" w:fill="FFFFFF"/>
          <w:lang w:val="zh-CN" w:eastAsia="zh-CN" w:bidi="ar-SA"/>
        </w:rPr>
      </w:pPr>
      <w:r>
        <w:rPr>
          <w:rFonts w:ascii="Times New Roman" w:hAnsi="Times New Roman" w:eastAsia="方正仿宋_GBK"/>
          <w:sz w:val="32"/>
          <w:szCs w:val="32"/>
        </w:rPr>
        <w:t>750.65</w:t>
      </w:r>
      <w:r>
        <w:rPr>
          <w:rFonts w:hint="eastAsia" w:ascii="Times New Roman" w:hAnsi="Times New Roman" w:eastAsia="方正仿宋_GBK"/>
          <w:sz w:val="32"/>
          <w:szCs w:val="32"/>
        </w:rPr>
        <w:t>万元</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项目支出130.03</w:t>
      </w:r>
      <w:r>
        <w:rPr>
          <w:rFonts w:hint="eastAsia" w:ascii="Times New Roman" w:hAnsi="Times New Roman" w:eastAsia="方正仿宋_GBK"/>
          <w:sz w:val="32"/>
          <w:szCs w:val="32"/>
        </w:rPr>
        <w:t>万元</w:t>
      </w:r>
      <w:r>
        <w:rPr>
          <w:rFonts w:hint="eastAsia" w:ascii="Times New Roman" w:hAnsi="Times New Roman" w:eastAsia="方正仿宋_GBK"/>
          <w:sz w:val="32"/>
          <w:szCs w:val="32"/>
          <w:lang w:eastAsia="zh-CN"/>
        </w:rPr>
        <w:t>。</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黑体_GBK" w:cs="方正黑体_GBK"/>
          <w:color w:val="000000"/>
          <w:sz w:val="32"/>
          <w:szCs w:val="32"/>
          <w:shd w:val="clear" w:color="auto" w:fill="FFFFFF"/>
          <w:lang w:val="zh-CN" w:eastAsia="zh-CN" w:bidi="ar-SA"/>
        </w:rPr>
      </w:pPr>
      <w:r>
        <w:rPr>
          <w:rFonts w:hint="eastAsia" w:ascii="Times New Roman" w:hAnsi="Times New Roman" w:eastAsia="方正黑体_GBK" w:cs="方正黑体_GBK"/>
          <w:color w:val="000000"/>
          <w:sz w:val="32"/>
          <w:szCs w:val="32"/>
          <w:shd w:val="clear" w:color="auto" w:fill="FFFFFF"/>
          <w:lang w:val="zh-CN" w:eastAsia="zh-CN" w:bidi="ar-SA"/>
        </w:rPr>
        <w:t>三、部门财政支出管理情况</w:t>
      </w:r>
    </w:p>
    <w:p>
      <w:pPr>
        <w:pageBreakBefore w:val="0"/>
        <w:numPr>
          <w:ilvl w:val="0"/>
          <w:numId w:val="7"/>
        </w:numPr>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制度建设情况</w:t>
      </w:r>
    </w:p>
    <w:p>
      <w:pPr>
        <w:pageBreakBefore w:val="0"/>
        <w:numPr>
          <w:ilvl w:val="0"/>
          <w:numId w:val="0"/>
        </w:numPr>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zh-CN" w:eastAsia="zh-CN" w:bidi="ar-SA"/>
        </w:rPr>
        <w:t>我单位根据上级相关要求，结合单位工作实际，制定了《巴中市统计局内控管理制度汇编》，从议事机制、班子建设、党风廉政建设、机关党建、意识形态责任制、机关政务制度、驻村帮扶、业务制度、队伍建设、法治建设、机关财务、资产及内审内控制度等十一个方面对单位各项工作明确了具体的工作流程和相关要求，确保全局各类业务工作按制度执行，各项财务收支规范合理。完善了财务内控管理工作制度，从收支业务管理、预算管理、政府采购管理、资产管理、合同管理五个方面对局内各项经济业务活动流程和相关要求进行了明确，制定了公务接待、差旅费、会议费、培训费、公务卡使用等管理办法。明确了单位经济业务事项申请和报销流程及标准，使本单位财政资金在事前、事中、事后得到全过程管控，有效发挥财政资金效益。在工作中，严格遵守各项财经纪律，认真执行各项财务制度、规定和相关工作流程。</w:t>
      </w:r>
    </w:p>
    <w:p>
      <w:pPr>
        <w:pageBreakBefore w:val="0"/>
        <w:numPr>
          <w:ilvl w:val="0"/>
          <w:numId w:val="7"/>
        </w:numPr>
        <w:kinsoku/>
        <w:wordWrap/>
        <w:overflowPunct/>
        <w:topLinePunct w:val="0"/>
        <w:autoSpaceDE/>
        <w:autoSpaceDN/>
        <w:bidi w:val="0"/>
        <w:adjustRightInd/>
        <w:spacing w:line="576" w:lineRule="exact"/>
        <w:ind w:left="0" w:leftChars="0" w:firstLine="720" w:firstLineChars="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绩效目标管理情况</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仿宋简体" w:cs="宋体"/>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zh-CN" w:eastAsia="zh-CN" w:bidi="ar-SA"/>
        </w:rPr>
        <w:t>按照预算绩效管理有关要求，根据工作开展和资金预算情况，年初在预算编制阶段编制了整体支出绩效目标申报表，并对</w:t>
      </w:r>
      <w:r>
        <w:rPr>
          <w:rFonts w:hint="eastAsia" w:ascii="Times New Roman" w:hAnsi="Times New Roman" w:eastAsia="方正仿宋_GBK" w:cs="方正仿宋_GBK"/>
          <w:color w:val="000000"/>
          <w:sz w:val="32"/>
          <w:szCs w:val="32"/>
          <w:shd w:val="clear" w:color="auto" w:fill="FFFFFF"/>
          <w:lang w:val="en-US" w:eastAsia="zh-CN" w:bidi="ar-SA"/>
        </w:rPr>
        <w:t>7个</w:t>
      </w:r>
      <w:r>
        <w:rPr>
          <w:rFonts w:hint="eastAsia" w:ascii="Times New Roman" w:hAnsi="Times New Roman" w:eastAsia="方正仿宋_GBK" w:cs="方正仿宋_GBK"/>
          <w:color w:val="000000"/>
          <w:sz w:val="32"/>
          <w:szCs w:val="32"/>
          <w:shd w:val="clear" w:color="auto" w:fill="FFFFFF"/>
          <w:lang w:val="zh-CN" w:eastAsia="zh-CN" w:bidi="ar-SA"/>
        </w:rPr>
        <w:t>项目编制了项目支出绩效目标申报表，整体支出和项目支出总体目标、绩效指标、绩效指标值严格按照本单位年度工作安排情况设置，设置科学、合理，填报完整、可行。年中对本单位财政资金使用情况开展了202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年部门预算和项目支出中期评估、预算支出绩效运行监控，所有资金绩效目标过程监控规范、有效。</w:t>
      </w:r>
    </w:p>
    <w:p>
      <w:pPr>
        <w:pageBreakBefore w:val="0"/>
        <w:numPr>
          <w:ilvl w:val="0"/>
          <w:numId w:val="7"/>
        </w:numPr>
        <w:kinsoku/>
        <w:wordWrap/>
        <w:overflowPunct/>
        <w:topLinePunct w:val="0"/>
        <w:autoSpaceDE/>
        <w:autoSpaceDN/>
        <w:bidi w:val="0"/>
        <w:adjustRightInd/>
        <w:spacing w:line="576" w:lineRule="exact"/>
        <w:ind w:left="0" w:leftChars="0" w:firstLine="720" w:firstLineChars="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综合管理情况</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zh-CN" w:eastAsia="zh-CN" w:bidi="ar-SA"/>
        </w:rPr>
        <w:t>截止202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年底，本单位无政府性债务。202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年本单位无政府采购实施计划，也未实施政府采购。“三公经费”严格执行年初预算，严格执行公务接待和公务用车相关规定，不存在超标准接待或无预算接待的情况，202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三公经费”支出数与上年度基本持平。认真落实财务信息公开相关要求，在财政规定时间内对本单位部门财政预决算在局门户网站专栏进行了公开。落实专门科室负责全局资产管理，不定期开展本单位资产盘点工作，确保账账、账表、账实相符。严格按照行政事业单位会计制度及时进行账务处理，财务核算规范。积极配合做好财政、审计部门和派驻纪检监察组等相关部门对我单位的财务监督检查工作。</w:t>
      </w:r>
    </w:p>
    <w:p>
      <w:pPr>
        <w:pageBreakBefore w:val="0"/>
        <w:numPr>
          <w:ilvl w:val="0"/>
          <w:numId w:val="7"/>
        </w:numPr>
        <w:kinsoku/>
        <w:wordWrap/>
        <w:overflowPunct/>
        <w:topLinePunct w:val="0"/>
        <w:autoSpaceDE/>
        <w:autoSpaceDN/>
        <w:bidi w:val="0"/>
        <w:adjustRightInd/>
        <w:spacing w:line="576" w:lineRule="exact"/>
        <w:ind w:left="0" w:leftChars="0" w:firstLine="720" w:firstLineChars="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综合绩效情况</w:t>
      </w:r>
    </w:p>
    <w:p>
      <w:pPr>
        <w:pageBreakBefore w:val="0"/>
        <w:widowControl/>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方正仿宋_GBK" w:cs="方正仿宋_GBK"/>
          <w:color w:val="000000"/>
          <w:sz w:val="32"/>
          <w:szCs w:val="32"/>
          <w:shd w:val="clear" w:color="auto" w:fill="FFFFFF"/>
          <w:lang w:val="en-US" w:eastAsia="zh-CN" w:bidi="ar-SA"/>
        </w:rPr>
      </w:pPr>
      <w:r>
        <w:rPr>
          <w:rFonts w:hint="eastAsia" w:ascii="Times New Roman" w:hAnsi="Times New Roman" w:eastAsia="方正仿宋_GBK" w:cs="方正仿宋_GBK"/>
          <w:color w:val="000000"/>
          <w:sz w:val="32"/>
          <w:szCs w:val="32"/>
          <w:shd w:val="clear" w:color="auto" w:fill="FFFFFF"/>
          <w:lang w:val="en-US" w:eastAsia="zh-CN" w:bidi="ar-SA"/>
        </w:rPr>
        <w:t>整体支出绩效目标完成情况：</w:t>
      </w:r>
    </w:p>
    <w:p>
      <w:pPr>
        <w:pageBreakBefore w:val="0"/>
        <w:widowControl/>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zh-CN" w:eastAsia="zh-CN" w:bidi="ar-SA"/>
        </w:rPr>
        <w:t>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年圆满完成了全市各项统计重点工作任务，围绕推动全市经济社会高质量发展，充分发挥统计职能作用，深入基层开展调研调查，形成了一批聚焦热点难点、反映经济发展和社会民生的调研分析报告。</w:t>
      </w:r>
      <w:r>
        <w:rPr>
          <w:rFonts w:hint="eastAsia" w:ascii="Times New Roman" w:hAnsi="Times New Roman" w:eastAsia="方正仿宋_GBK"/>
          <w:color w:val="000000"/>
          <w:sz w:val="32"/>
          <w:szCs w:val="32"/>
          <w:lang w:eastAsia="zh-CN"/>
        </w:rPr>
        <w:t>全年</w:t>
      </w:r>
      <w:r>
        <w:rPr>
          <w:rFonts w:hint="eastAsia" w:ascii="Times New Roman" w:hAnsi="Times New Roman" w:eastAsia="方正仿宋_GBK" w:cs="方正仿宋_GBK"/>
          <w:color w:val="000000"/>
          <w:sz w:val="32"/>
          <w:szCs w:val="32"/>
          <w:lang w:bidi="ar"/>
        </w:rPr>
        <w:t>撰写各类统计分析报告</w:t>
      </w:r>
      <w:r>
        <w:rPr>
          <w:rFonts w:hint="eastAsia" w:ascii="Times New Roman" w:hAnsi="Times New Roman" w:eastAsia="方正仿宋_GBK" w:cs="方正仿宋_GBK"/>
          <w:color w:val="000000"/>
          <w:sz w:val="32"/>
          <w:szCs w:val="32"/>
          <w:lang w:val="en-US" w:eastAsia="zh-CN" w:bidi="ar"/>
        </w:rPr>
        <w:t>76</w:t>
      </w:r>
      <w:r>
        <w:rPr>
          <w:rFonts w:hint="eastAsia" w:ascii="Times New Roman" w:hAnsi="Times New Roman" w:eastAsia="方正仿宋_GBK" w:cs="方正仿宋_GBK"/>
          <w:color w:val="000000"/>
          <w:sz w:val="32"/>
          <w:szCs w:val="32"/>
          <w:lang w:bidi="ar"/>
        </w:rPr>
        <w:t>篇，市领导肯定性签批达</w:t>
      </w:r>
      <w:r>
        <w:rPr>
          <w:rFonts w:hint="eastAsia" w:ascii="Times New Roman" w:hAnsi="Times New Roman" w:eastAsia="方正仿宋_GBK" w:cs="方正仿宋_GBK"/>
          <w:color w:val="000000"/>
          <w:sz w:val="32"/>
          <w:szCs w:val="32"/>
          <w:lang w:val="en-US" w:eastAsia="zh-CN" w:bidi="ar"/>
        </w:rPr>
        <w:t>54</w:t>
      </w:r>
      <w:r>
        <w:rPr>
          <w:rFonts w:hint="eastAsia" w:ascii="Times New Roman" w:hAnsi="Times New Roman" w:eastAsia="方正仿宋_GBK" w:cs="方正仿宋_GBK"/>
          <w:color w:val="000000"/>
          <w:sz w:val="32"/>
          <w:szCs w:val="32"/>
          <w:lang w:bidi="ar"/>
        </w:rPr>
        <w:t>件（次），市委、市政府主要领导签批达</w:t>
      </w:r>
      <w:r>
        <w:rPr>
          <w:rFonts w:hint="eastAsia" w:ascii="Times New Roman" w:hAnsi="Times New Roman" w:eastAsia="方正仿宋_GBK" w:cs="方正仿宋_GBK"/>
          <w:color w:val="000000"/>
          <w:sz w:val="32"/>
          <w:szCs w:val="32"/>
          <w:lang w:val="en-US" w:eastAsia="zh-CN" w:bidi="ar"/>
        </w:rPr>
        <w:t>34</w:t>
      </w:r>
      <w:r>
        <w:rPr>
          <w:rFonts w:hint="eastAsia" w:ascii="Times New Roman" w:hAnsi="Times New Roman" w:eastAsia="方正仿宋_GBK" w:cs="方正仿宋_GBK"/>
          <w:color w:val="000000"/>
          <w:sz w:val="32"/>
          <w:szCs w:val="32"/>
          <w:lang w:bidi="ar"/>
        </w:rPr>
        <w:t>次</w:t>
      </w:r>
      <w:r>
        <w:rPr>
          <w:rFonts w:hint="eastAsia" w:ascii="Times New Roman" w:hAnsi="Times New Roman" w:eastAsia="方正仿宋_GBK" w:cs="方正仿宋_GBK"/>
          <w:color w:val="000000"/>
          <w:sz w:val="32"/>
          <w:szCs w:val="32"/>
          <w:shd w:val="clear" w:color="auto" w:fill="FFFFFF"/>
          <w:lang w:val="zh-CN" w:eastAsia="zh-CN" w:bidi="ar-SA"/>
        </w:rPr>
        <w:t>。</w:t>
      </w:r>
      <w:r>
        <w:rPr>
          <w:rFonts w:hint="eastAsia" w:ascii="Times New Roman" w:hAnsi="Times New Roman" w:eastAsia="方正仿宋_GBK"/>
          <w:color w:val="000000"/>
          <w:sz w:val="32"/>
          <w:szCs w:val="32"/>
          <w:lang w:eastAsia="zh-CN"/>
        </w:rPr>
        <w:t>现场检查有关单位、企业14</w:t>
      </w:r>
      <w:r>
        <w:rPr>
          <w:rFonts w:hint="eastAsia" w:ascii="Times New Roman" w:hAnsi="Times New Roman" w:eastAsia="方正仿宋_GBK"/>
          <w:color w:val="000000"/>
          <w:sz w:val="32"/>
          <w:szCs w:val="32"/>
          <w:lang w:val="en-US" w:eastAsia="zh-CN"/>
        </w:rPr>
        <w:t>39</w:t>
      </w:r>
      <w:r>
        <w:rPr>
          <w:rFonts w:hint="eastAsia" w:ascii="Times New Roman" w:hAnsi="Times New Roman" w:eastAsia="方正仿宋_GBK"/>
          <w:color w:val="000000"/>
          <w:sz w:val="32"/>
          <w:szCs w:val="32"/>
          <w:lang w:eastAsia="zh-CN"/>
        </w:rPr>
        <w:t>家，</w:t>
      </w:r>
      <w:r>
        <w:rPr>
          <w:rFonts w:hint="eastAsia" w:ascii="Times New Roman" w:hAnsi="Times New Roman" w:eastAsia="方正仿宋_GBK" w:cs="Times New Roman"/>
          <w:color w:val="000000"/>
          <w:sz w:val="32"/>
          <w:szCs w:val="32"/>
          <w:lang w:eastAsia="zh-CN"/>
        </w:rPr>
        <w:t>清理并申报退库企业</w:t>
      </w:r>
      <w:r>
        <w:rPr>
          <w:rFonts w:hint="eastAsia" w:ascii="Times New Roman" w:hAnsi="Times New Roman" w:eastAsia="方正仿宋_GBK" w:cs="Times New Roman"/>
          <w:color w:val="000000"/>
          <w:sz w:val="32"/>
          <w:szCs w:val="32"/>
          <w:lang w:val="en-US" w:eastAsia="zh-CN"/>
        </w:rPr>
        <w:t>108</w:t>
      </w:r>
      <w:r>
        <w:rPr>
          <w:rFonts w:hint="eastAsia" w:ascii="Times New Roman" w:hAnsi="Times New Roman" w:eastAsia="方正仿宋_GBK" w:cs="Times New Roman"/>
          <w:color w:val="000000"/>
          <w:sz w:val="32"/>
          <w:szCs w:val="32"/>
          <w:lang w:eastAsia="zh-CN"/>
        </w:rPr>
        <w:t>户，对120户入退库单位（项目）开展专项抽查，查询数据异动企业100余户并逐一核实处理。</w:t>
      </w:r>
      <w:r>
        <w:rPr>
          <w:rFonts w:hint="eastAsia" w:ascii="Times New Roman" w:hAnsi="Times New Roman" w:eastAsia="方正仿宋_GBK"/>
          <w:color w:val="auto"/>
          <w:sz w:val="32"/>
          <w:szCs w:val="32"/>
          <w:lang w:eastAsia="zh-CN"/>
        </w:rPr>
        <w:t>完成第五次全国经济普查筹备工作领导机构组建、经费测算、企业法人专项清理等前期工作。</w:t>
      </w:r>
      <w:r>
        <w:rPr>
          <w:rFonts w:hint="eastAsia" w:ascii="Times New Roman" w:hAnsi="Times New Roman" w:eastAsia="方正仿宋_GBK"/>
          <w:color w:val="000000"/>
          <w:sz w:val="32"/>
          <w:szCs w:val="32"/>
        </w:rPr>
        <w:t>高质量完成工业、投资等24项常规报表任务，</w:t>
      </w:r>
      <w:r>
        <w:rPr>
          <w:rFonts w:hint="eastAsia" w:ascii="Times New Roman" w:hAnsi="Times New Roman" w:eastAsia="方正仿宋_GBK" w:cs="Times New Roman"/>
          <w:color w:val="000000"/>
          <w:sz w:val="32"/>
          <w:szCs w:val="32"/>
        </w:rPr>
        <w:t>创新开</w:t>
      </w:r>
      <w:r>
        <w:rPr>
          <w:rFonts w:hint="eastAsia" w:ascii="Times New Roman" w:hAnsi="Times New Roman" w:eastAsia="方正仿宋_GBK" w:cs="Times New Roman"/>
          <w:color w:val="auto"/>
          <w:sz w:val="32"/>
          <w:szCs w:val="32"/>
          <w:lang w:eastAsia="zh-CN"/>
        </w:rPr>
        <w:t>展流动妇女儿童、劳动工资、文化产业、两纲监测、教育双减政策实施情况及中医药产业发展等调查工作。</w:t>
      </w:r>
      <w:r>
        <w:rPr>
          <w:rFonts w:hint="eastAsia" w:ascii="Times New Roman" w:hAnsi="Times New Roman" w:eastAsia="方正仿宋_GBK" w:cs="方正仿宋_GBK"/>
          <w:color w:val="000000"/>
          <w:sz w:val="32"/>
          <w:szCs w:val="32"/>
          <w:shd w:val="clear" w:color="auto" w:fill="FFFFFF"/>
          <w:lang w:val="zh-CN" w:eastAsia="zh-CN" w:bidi="ar-SA"/>
        </w:rPr>
        <w:t>对保障部门统计重点工作，深化统计管理体制改革，为党委政府决策咨询提供高质量的统计服务发挥了重要作用，取得了较好成绩，有效的发挥了财政资金使用效益。</w:t>
      </w:r>
    </w:p>
    <w:p>
      <w:pPr>
        <w:pStyle w:val="2"/>
        <w:pageBreakBefore w:val="0"/>
        <w:kinsoku/>
        <w:wordWrap/>
        <w:overflowPunct/>
        <w:topLinePunct w:val="0"/>
        <w:autoSpaceDE/>
        <w:autoSpaceDN/>
        <w:bidi w:val="0"/>
        <w:adjustRightInd/>
        <w:spacing w:line="576" w:lineRule="exact"/>
        <w:ind w:left="960" w:hanging="960" w:hangingChars="300"/>
        <w:textAlignment w:val="auto"/>
        <w:rPr>
          <w:rFonts w:hint="eastAsia" w:ascii="Times New Roman" w:hAnsi="Times New Roman" w:eastAsia="方正仿宋_GBK" w:cs="方正仿宋_GBK"/>
          <w:color w:val="000000"/>
          <w:sz w:val="32"/>
          <w:szCs w:val="32"/>
          <w:shd w:val="clear" w:color="auto" w:fill="FFFFFF"/>
          <w:lang w:val="en-US" w:eastAsia="zh-CN" w:bidi="ar-SA"/>
        </w:rPr>
      </w:pPr>
      <w:r>
        <w:rPr>
          <w:rFonts w:hint="eastAsia" w:ascii="Times New Roman" w:hAnsi="Times New Roman" w:eastAsia="方正仿宋_GBK" w:cs="方正仿宋_GBK"/>
          <w:color w:val="000000"/>
          <w:sz w:val="32"/>
          <w:szCs w:val="32"/>
          <w:shd w:val="clear" w:color="auto" w:fill="FFFFFF"/>
          <w:lang w:val="en-US" w:eastAsia="zh-CN" w:bidi="ar-SA"/>
        </w:rPr>
        <w:t xml:space="preserve">    项目支出绩效目标完成情况：</w:t>
      </w:r>
    </w:p>
    <w:p>
      <w:pPr>
        <w:pageBreakBefore w:val="0"/>
        <w:widowControl/>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en-US" w:eastAsia="zh-CN" w:bidi="ar-SA"/>
        </w:rPr>
        <w:t>1.</w:t>
      </w:r>
      <w:r>
        <w:rPr>
          <w:rFonts w:hint="eastAsia" w:ascii="Times New Roman" w:hAnsi="Times New Roman" w:eastAsia="方正仿宋_GBK" w:cs="方正仿宋_GBK"/>
          <w:color w:val="000000"/>
          <w:sz w:val="32"/>
          <w:szCs w:val="32"/>
          <w:shd w:val="clear" w:color="auto" w:fill="FFFFFF"/>
          <w:lang w:val="zh-CN" w:eastAsia="zh-CN" w:bidi="ar-SA"/>
        </w:rPr>
        <w:t>经济社会动态监测经费：按月做好全市经济社会发展状况监测预警工作，按时按质完成全市基本单位入退库审核维护工作，</w:t>
      </w:r>
      <w:r>
        <w:rPr>
          <w:rFonts w:hint="eastAsia" w:ascii="Times New Roman" w:hAnsi="Times New Roman" w:eastAsia="方正仿宋_GBK" w:cs="Times New Roman"/>
          <w:color w:val="000000"/>
          <w:sz w:val="32"/>
          <w:szCs w:val="32"/>
          <w:lang w:eastAsia="zh-CN"/>
        </w:rPr>
        <w:t>清理并申报退库企业</w:t>
      </w:r>
      <w:r>
        <w:rPr>
          <w:rFonts w:hint="eastAsia" w:ascii="Times New Roman" w:hAnsi="Times New Roman" w:eastAsia="方正仿宋_GBK" w:cs="Times New Roman"/>
          <w:color w:val="000000"/>
          <w:sz w:val="32"/>
          <w:szCs w:val="32"/>
          <w:lang w:val="en-US" w:eastAsia="zh-CN"/>
        </w:rPr>
        <w:t>108</w:t>
      </w:r>
      <w:r>
        <w:rPr>
          <w:rFonts w:hint="eastAsia" w:ascii="Times New Roman" w:hAnsi="Times New Roman" w:eastAsia="方正仿宋_GBK" w:cs="Times New Roman"/>
          <w:color w:val="000000"/>
          <w:sz w:val="32"/>
          <w:szCs w:val="32"/>
          <w:lang w:eastAsia="zh-CN"/>
        </w:rPr>
        <w:t>户，按月开展入退库企业核查工作，及时进行入退库审核，确保在库单位真实性。全面、真实反映了全市调查单位经济状况，</w:t>
      </w:r>
      <w:r>
        <w:rPr>
          <w:rFonts w:hint="eastAsia" w:ascii="Times New Roman" w:hAnsi="Times New Roman" w:eastAsia="方正仿宋_GBK" w:cs="方正仿宋_GBK"/>
          <w:color w:val="000000"/>
          <w:sz w:val="32"/>
          <w:szCs w:val="32"/>
          <w:shd w:val="clear" w:color="auto" w:fill="FFFFFF"/>
          <w:lang w:val="zh-CN" w:eastAsia="zh-CN" w:bidi="ar-SA"/>
        </w:rPr>
        <w:t>调查单位人员满意度高于90%。</w:t>
      </w:r>
    </w:p>
    <w:p>
      <w:pPr>
        <w:pStyle w:val="2"/>
        <w:pageBreakBefore w:val="0"/>
        <w:numPr>
          <w:ilvl w:val="0"/>
          <w:numId w:val="0"/>
        </w:numPr>
        <w:kinsoku/>
        <w:wordWrap/>
        <w:overflowPunct/>
        <w:topLinePunct w:val="0"/>
        <w:autoSpaceDE/>
        <w:autoSpaceDN/>
        <w:bidi w:val="0"/>
        <w:adjustRightInd/>
        <w:spacing w:line="576" w:lineRule="exact"/>
        <w:ind w:firstLine="640"/>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zh-CN" w:eastAsia="zh-CN" w:bidi="ar-SA"/>
        </w:rPr>
        <w:t>2.党风廉政建设社会评价调查经费：根据市纪委要求，</w:t>
      </w:r>
      <w:r>
        <w:rPr>
          <w:rFonts w:hint="eastAsia" w:ascii="Times New Roman" w:hAnsi="Times New Roman" w:eastAsia="方正仿宋_GBK" w:cs="方正仿宋_GBK"/>
          <w:color w:val="000000"/>
          <w:sz w:val="32"/>
          <w:szCs w:val="32"/>
          <w:shd w:val="clear" w:color="auto" w:fill="FFFFFF"/>
          <w:lang w:val="en-US" w:eastAsia="zh-CN" w:bidi="ar-SA"/>
        </w:rPr>
        <w:t>2022年未开展党风廉政建设社会评价工作。经费主要用于</w:t>
      </w:r>
      <w:r>
        <w:rPr>
          <w:rFonts w:hint="eastAsia" w:ascii="Times New Roman" w:hAnsi="Times New Roman" w:eastAsia="方正仿宋_GBK" w:cs="方正仿宋_GBK"/>
          <w:color w:val="000000"/>
          <w:sz w:val="32"/>
          <w:szCs w:val="32"/>
          <w:shd w:val="clear" w:color="auto" w:fill="FFFFFF"/>
          <w:lang w:val="zh-CN" w:eastAsia="zh-CN" w:bidi="ar-SA"/>
        </w:rPr>
        <w:t>保障了电访专用线路、网络和系统的正常运行，电访室日常办公和运行。</w:t>
      </w:r>
    </w:p>
    <w:p>
      <w:pPr>
        <w:pageBreakBefore w:val="0"/>
        <w:widowControl/>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en-US" w:eastAsia="zh-CN" w:bidi="ar-SA"/>
        </w:rPr>
        <w:t>3</w:t>
      </w:r>
      <w:r>
        <w:rPr>
          <w:rFonts w:hint="eastAsia" w:ascii="Times New Roman" w:hAnsi="Times New Roman" w:eastAsia="方正仿宋_GBK" w:cs="方正仿宋_GBK"/>
          <w:color w:val="000000"/>
          <w:sz w:val="32"/>
          <w:szCs w:val="32"/>
          <w:shd w:val="clear" w:color="auto" w:fill="FFFFFF"/>
          <w:lang w:val="zh-CN" w:eastAsia="zh-CN" w:bidi="ar-SA"/>
        </w:rPr>
        <w:t>.统计调研分析及成果应用经费：完成了202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各项统计调研任务，形成有效的统计产品，为党政决策服务提供了数据参考。全年开展统计调研30余次，完成各专业培训10余次，形成了高质量的统计调研产品，为研判经济形势提供数据参考，及时开展全市经济形势分析研判，统计调研产品使用者满意度大于90%。</w:t>
      </w:r>
    </w:p>
    <w:p>
      <w:pPr>
        <w:pageBreakBefore w:val="0"/>
        <w:widowControl/>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方正仿宋_GBK" w:cs="方正仿宋_GBK"/>
          <w:color w:val="000000"/>
          <w:sz w:val="32"/>
          <w:szCs w:val="32"/>
          <w:shd w:val="clear" w:color="auto" w:fill="FFFFFF"/>
          <w:lang w:val="zh-CN" w:eastAsia="zh-CN" w:bidi="ar-SA"/>
        </w:rPr>
      </w:pPr>
      <w:r>
        <w:rPr>
          <w:rFonts w:hint="eastAsia" w:ascii="Times New Roman" w:hAnsi="Times New Roman" w:eastAsia="方正仿宋_GBK" w:cs="方正仿宋_GBK"/>
          <w:color w:val="000000"/>
          <w:sz w:val="32"/>
          <w:szCs w:val="32"/>
          <w:shd w:val="clear" w:color="auto" w:fill="FFFFFF"/>
          <w:lang w:val="en-US" w:eastAsia="zh-CN" w:bidi="ar-SA"/>
        </w:rPr>
        <w:t>4</w:t>
      </w:r>
      <w:r>
        <w:rPr>
          <w:rFonts w:hint="eastAsia" w:ascii="Times New Roman" w:hAnsi="Times New Roman" w:eastAsia="方正仿宋_GBK" w:cs="方正仿宋_GBK"/>
          <w:color w:val="000000"/>
          <w:sz w:val="32"/>
          <w:szCs w:val="32"/>
          <w:shd w:val="clear" w:color="auto" w:fill="FFFFFF"/>
          <w:lang w:val="zh-CN" w:eastAsia="zh-CN" w:bidi="ar-SA"/>
        </w:rPr>
        <w:t>.统计数据采集经费：按国家要求完成了202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年度各项经济指标调查收集工作，完成了联网直报平台统计数据汇总、发布与开发利用。全年印刷统计月报</w:t>
      </w:r>
      <w:r>
        <w:rPr>
          <w:rFonts w:hint="eastAsia" w:ascii="Times New Roman" w:hAnsi="Times New Roman" w:eastAsia="方正仿宋_GBK" w:cs="方正仿宋_GBK"/>
          <w:color w:val="000000"/>
          <w:sz w:val="32"/>
          <w:szCs w:val="32"/>
          <w:shd w:val="clear" w:color="auto" w:fill="FFFFFF"/>
          <w:lang w:val="en-US" w:eastAsia="zh-CN" w:bidi="ar-SA"/>
        </w:rPr>
        <w:t>2000余本，统计年鉴300余本，</w:t>
      </w:r>
      <w:r>
        <w:rPr>
          <w:rFonts w:hint="eastAsia" w:ascii="Times New Roman" w:hAnsi="Times New Roman" w:eastAsia="方正仿宋_GBK" w:cs="方正仿宋_GBK"/>
          <w:color w:val="000000"/>
          <w:sz w:val="32"/>
          <w:szCs w:val="32"/>
          <w:shd w:val="clear" w:color="auto" w:fill="FFFFFF"/>
          <w:lang w:val="zh-CN" w:eastAsia="zh-CN" w:bidi="ar-SA"/>
        </w:rPr>
        <w:t>按要求定时发布统计数据，数据使用者满意度达到90%以上。</w:t>
      </w:r>
    </w:p>
    <w:p>
      <w:pPr>
        <w:pStyle w:val="2"/>
        <w:pageBreakBefore w:val="0"/>
        <w:kinsoku/>
        <w:wordWrap/>
        <w:overflowPunct/>
        <w:topLinePunct w:val="0"/>
        <w:autoSpaceDE/>
        <w:autoSpaceDN/>
        <w:bidi w:val="0"/>
        <w:adjustRightInd/>
        <w:spacing w:line="576" w:lineRule="exact"/>
        <w:ind w:firstLine="640" w:firstLineChars="200"/>
        <w:textAlignment w:val="auto"/>
        <w:rPr>
          <w:rFonts w:hint="eastAsia" w:ascii="Times New Roman" w:hAnsi="Times New Roman" w:eastAsia="方正仿宋_GBK"/>
          <w:color w:val="auto"/>
          <w:sz w:val="32"/>
          <w:szCs w:val="32"/>
          <w:lang w:val="en-US" w:eastAsia="zh-CN"/>
        </w:rPr>
      </w:pPr>
      <w:r>
        <w:rPr>
          <w:rFonts w:hint="eastAsia" w:ascii="Times New Roman" w:hAnsi="Times New Roman"/>
          <w:lang w:val="en-US" w:eastAsia="zh-CN"/>
        </w:rPr>
        <w:t>5.</w:t>
      </w:r>
      <w:r>
        <w:rPr>
          <w:rFonts w:hint="eastAsia" w:ascii="Times New Roman" w:hAnsi="Times New Roman" w:eastAsia="方正仿宋_GBK" w:cs="Times New Roman"/>
          <w:color w:val="auto"/>
          <w:kern w:val="2"/>
          <w:sz w:val="32"/>
          <w:szCs w:val="32"/>
          <w:lang w:val="zh-CN" w:eastAsia="zh-CN" w:bidi="ar-SA"/>
        </w:rPr>
        <w:t>重点普查业务经费：按照市委市政府和省统计局安排，完成了第七次全国普查的后续资料开发应用等工作，认真做好了第五次全国经济普查各项前期准备工作。高质量完成《</w:t>
      </w:r>
      <w:r>
        <w:rPr>
          <w:rFonts w:hint="eastAsia" w:ascii="Times New Roman" w:hAnsi="Times New Roman" w:eastAsia="方正仿宋_GBK" w:cs="Times New Roman"/>
          <w:color w:val="auto"/>
          <w:kern w:val="2"/>
          <w:sz w:val="32"/>
          <w:szCs w:val="32"/>
          <w:lang w:val="en-US" w:eastAsia="zh-CN" w:bidi="ar-SA"/>
        </w:rPr>
        <w:t>2020年巴中</w:t>
      </w:r>
      <w:r>
        <w:rPr>
          <w:rFonts w:hint="eastAsia" w:ascii="Times New Roman" w:hAnsi="Times New Roman" w:eastAsia="方正仿宋_GBK" w:cs="Times New Roman"/>
          <w:color w:val="auto"/>
          <w:kern w:val="2"/>
          <w:sz w:val="32"/>
          <w:szCs w:val="32"/>
          <w:lang w:val="zh-CN" w:eastAsia="zh-CN" w:bidi="ar-SA"/>
        </w:rPr>
        <w:t>人口普查年鉴》的撰写，为未来人口规</w:t>
      </w:r>
      <w:r>
        <w:rPr>
          <w:rFonts w:hint="eastAsia" w:ascii="Times New Roman" w:hAnsi="Times New Roman" w:eastAsia="方正仿宋_GBK"/>
          <w:color w:val="auto"/>
          <w:sz w:val="32"/>
          <w:szCs w:val="32"/>
          <w:lang w:eastAsia="zh-CN"/>
        </w:rPr>
        <w:t>划提供了数据支撑，全市单位对经济普查的知晓度有所提升，普查资料使用者满意度高于</w:t>
      </w:r>
      <w:r>
        <w:rPr>
          <w:rFonts w:hint="eastAsia" w:ascii="Times New Roman" w:hAnsi="Times New Roman" w:eastAsia="方正仿宋_GBK"/>
          <w:color w:val="auto"/>
          <w:sz w:val="32"/>
          <w:szCs w:val="32"/>
          <w:lang w:val="en-US" w:eastAsia="zh-CN"/>
        </w:rPr>
        <w:t>90%。</w:t>
      </w:r>
    </w:p>
    <w:p>
      <w:pPr>
        <w:pageBreakBefore w:val="0"/>
        <w:kinsoku/>
        <w:wordWrap/>
        <w:overflowPunct/>
        <w:topLinePunct w:val="0"/>
        <w:autoSpaceDE/>
        <w:autoSpaceDN/>
        <w:bidi w:val="0"/>
        <w:adjustRightInd/>
        <w:spacing w:line="576" w:lineRule="exact"/>
        <w:ind w:firstLine="640"/>
        <w:textAlignment w:val="auto"/>
        <w:rPr>
          <w:rFonts w:hint="eastAsia" w:ascii="Times New Roman" w:hAnsi="Times New Roman" w:eastAsia="方正仿宋_GBK"/>
          <w:color w:val="auto"/>
          <w:sz w:val="32"/>
          <w:szCs w:val="32"/>
          <w:lang w:val="en-US" w:eastAsia="zh-CN"/>
        </w:rPr>
      </w:pPr>
      <w:r>
        <w:rPr>
          <w:rFonts w:hint="eastAsia" w:ascii="Times New Roman" w:hAnsi="Times New Roman" w:eastAsia="方正仿宋_GBK"/>
          <w:color w:val="auto"/>
          <w:sz w:val="32"/>
          <w:szCs w:val="32"/>
          <w:lang w:val="en-US" w:eastAsia="zh-CN"/>
        </w:rPr>
        <w:t>6.统计信息系统运行维护经费：按国家、省统计局要求和实际工作需要，确保了全市统计信息系统安全可靠，有效保障了联网直报企业用户上报相关数据。全年开展统计信息化和网络安全培训2次，各县区统计专网运行良好，局内外网站得到安全保护、安全运行，全市统计专业人员管网治网能力得到有效提升，统计信息系统使用者满意度高于90%。</w:t>
      </w:r>
    </w:p>
    <w:p>
      <w:pPr>
        <w:pageBreakBefore w:val="0"/>
        <w:kinsoku/>
        <w:wordWrap/>
        <w:overflowPunct/>
        <w:topLinePunct w:val="0"/>
        <w:autoSpaceDE/>
        <w:autoSpaceDN/>
        <w:bidi w:val="0"/>
        <w:adjustRightInd/>
        <w:spacing w:line="576" w:lineRule="exact"/>
        <w:ind w:firstLine="640"/>
        <w:textAlignment w:val="auto"/>
        <w:rPr>
          <w:rFonts w:hint="default" w:ascii="Times New Roman" w:hAnsi="Times New Roman" w:eastAsia="方正仿宋_GBK"/>
          <w:color w:val="000000"/>
          <w:kern w:val="2"/>
          <w:sz w:val="32"/>
          <w:szCs w:val="32"/>
          <w:lang w:val="en-US" w:eastAsia="zh-CN"/>
        </w:rPr>
      </w:pPr>
      <w:r>
        <w:rPr>
          <w:rFonts w:hint="eastAsia" w:ascii="Times New Roman" w:hAnsi="Times New Roman" w:eastAsia="方正仿宋_GBK"/>
          <w:color w:val="auto"/>
          <w:sz w:val="32"/>
          <w:szCs w:val="32"/>
          <w:lang w:val="en-US" w:eastAsia="zh-CN"/>
        </w:rPr>
        <w:t>7.</w:t>
      </w:r>
      <w:r>
        <w:rPr>
          <w:rFonts w:hint="default" w:ascii="Times New Roman" w:hAnsi="Times New Roman" w:eastAsia="方正仿宋_GBK"/>
          <w:color w:val="auto"/>
          <w:sz w:val="32"/>
          <w:szCs w:val="32"/>
          <w:lang w:val="en-US" w:eastAsia="zh-CN"/>
        </w:rPr>
        <w:t>国家生态文</w:t>
      </w:r>
      <w:r>
        <w:rPr>
          <w:rFonts w:hint="default" w:ascii="Times New Roman" w:hAnsi="Times New Roman" w:eastAsia="方正仿宋_GBK" w:cs="Times New Roman"/>
          <w:color w:val="auto"/>
          <w:kern w:val="2"/>
          <w:sz w:val="32"/>
          <w:szCs w:val="32"/>
          <w:lang w:val="en-US" w:eastAsia="zh-CN" w:bidi="ar-SA"/>
        </w:rPr>
        <w:t>明示范市和热难点问题调查评价经费</w:t>
      </w:r>
      <w:r>
        <w:rPr>
          <w:rFonts w:hint="eastAsia" w:ascii="Times New Roman" w:hAnsi="Times New Roman" w:eastAsia="方正仿宋_GBK" w:cs="Times New Roman"/>
          <w:color w:val="auto"/>
          <w:kern w:val="2"/>
          <w:sz w:val="32"/>
          <w:szCs w:val="32"/>
          <w:lang w:val="en-US" w:eastAsia="zh-CN" w:bidi="ar-SA"/>
        </w:rPr>
        <w:t>：</w:t>
      </w:r>
      <w:r>
        <w:rPr>
          <w:rFonts w:hint="eastAsia" w:ascii="Times New Roman" w:hAnsi="Times New Roman" w:eastAsia="方正仿宋_GBK" w:cs="Times New Roman"/>
          <w:color w:val="000000"/>
          <w:sz w:val="32"/>
          <w:szCs w:val="32"/>
        </w:rPr>
        <w:t>创新开</w:t>
      </w:r>
      <w:r>
        <w:rPr>
          <w:rFonts w:hint="eastAsia" w:ascii="Times New Roman" w:hAnsi="Times New Roman" w:eastAsia="方正仿宋_GBK" w:cs="Times New Roman"/>
          <w:color w:val="auto"/>
          <w:sz w:val="32"/>
          <w:szCs w:val="32"/>
          <w:lang w:eastAsia="zh-CN"/>
        </w:rPr>
        <w:t>展流动妇女儿童、劳动工资、教育双减政策实施情况等调查工作，均收到了较好的效果。</w:t>
      </w:r>
      <w:r>
        <w:rPr>
          <w:rFonts w:hint="eastAsia" w:ascii="Times New Roman" w:hAnsi="Times New Roman" w:eastAsia="方正仿宋_GBK"/>
          <w:color w:val="000000"/>
          <w:kern w:val="2"/>
          <w:sz w:val="32"/>
          <w:szCs w:val="32"/>
        </w:rPr>
        <w:t>开展</w:t>
      </w:r>
      <w:r>
        <w:rPr>
          <w:rFonts w:hint="eastAsia" w:ascii="Times New Roman" w:hAnsi="Times New Roman" w:eastAsia="方正仿宋_GBK"/>
          <w:color w:val="000000"/>
          <w:kern w:val="2"/>
          <w:sz w:val="32"/>
          <w:szCs w:val="32"/>
          <w:lang w:eastAsia="zh-CN"/>
        </w:rPr>
        <w:t>的</w:t>
      </w:r>
      <w:r>
        <w:rPr>
          <w:rFonts w:hint="eastAsia" w:ascii="Times New Roman" w:hAnsi="Times New Roman" w:eastAsia="方正仿宋_GBK"/>
          <w:color w:val="000000"/>
          <w:kern w:val="2"/>
          <w:sz w:val="32"/>
          <w:szCs w:val="32"/>
        </w:rPr>
        <w:t>巴中市202</w:t>
      </w:r>
      <w:r>
        <w:rPr>
          <w:rFonts w:hint="eastAsia" w:ascii="Times New Roman" w:hAnsi="Times New Roman" w:eastAsia="方正仿宋_GBK"/>
          <w:color w:val="000000"/>
          <w:kern w:val="2"/>
          <w:sz w:val="32"/>
          <w:szCs w:val="32"/>
          <w:lang w:val="en-US" w:eastAsia="zh-CN"/>
        </w:rPr>
        <w:t>1</w:t>
      </w:r>
      <w:r>
        <w:rPr>
          <w:rFonts w:hint="eastAsia" w:ascii="Times New Roman" w:hAnsi="Times New Roman" w:eastAsia="方正仿宋_GBK"/>
          <w:color w:val="000000"/>
          <w:kern w:val="2"/>
          <w:sz w:val="32"/>
          <w:szCs w:val="32"/>
        </w:rPr>
        <w:t>年度公众对生态文明建设的满意度与参与度</w:t>
      </w:r>
      <w:r>
        <w:rPr>
          <w:rFonts w:hint="eastAsia" w:ascii="Times New Roman" w:hAnsi="Times New Roman" w:eastAsia="方正仿宋_GBK"/>
          <w:color w:val="000000"/>
          <w:kern w:val="2"/>
          <w:sz w:val="32"/>
          <w:szCs w:val="32"/>
          <w:lang w:eastAsia="zh-CN"/>
        </w:rPr>
        <w:t>调查，</w:t>
      </w:r>
      <w:r>
        <w:rPr>
          <w:rFonts w:hint="eastAsia" w:ascii="Times New Roman" w:hAnsi="Times New Roman" w:eastAsia="方正仿宋_GBK"/>
          <w:color w:val="000000"/>
          <w:kern w:val="2"/>
          <w:sz w:val="32"/>
          <w:szCs w:val="32"/>
        </w:rPr>
        <w:t>作为国</w:t>
      </w:r>
      <w:r>
        <w:rPr>
          <w:rFonts w:hint="eastAsia" w:ascii="Times New Roman" w:hAnsi="Times New Roman" w:eastAsia="方正仿宋_GBK"/>
          <w:color w:val="000000"/>
          <w:kern w:val="2"/>
          <w:sz w:val="32"/>
          <w:szCs w:val="32"/>
          <w:lang w:eastAsia="zh-CN"/>
        </w:rPr>
        <w:t>、省</w:t>
      </w:r>
      <w:r>
        <w:rPr>
          <w:rFonts w:hint="eastAsia" w:ascii="Times New Roman" w:hAnsi="Times New Roman" w:eastAsia="方正仿宋_GBK"/>
          <w:color w:val="000000"/>
          <w:kern w:val="2"/>
          <w:sz w:val="32"/>
          <w:szCs w:val="32"/>
        </w:rPr>
        <w:t>对巴中创建国家生态文明建设示范市验收评价的重要基础资料</w:t>
      </w:r>
      <w:r>
        <w:rPr>
          <w:rFonts w:hint="eastAsia" w:ascii="Times New Roman" w:hAnsi="Times New Roman" w:eastAsia="方正仿宋_GBK"/>
          <w:color w:val="000000"/>
          <w:kern w:val="2"/>
          <w:sz w:val="32"/>
          <w:szCs w:val="32"/>
          <w:lang w:eastAsia="zh-CN"/>
        </w:rPr>
        <w:t>，且顺利通过省</w:t>
      </w:r>
      <w:r>
        <w:rPr>
          <w:rFonts w:hint="eastAsia" w:ascii="Times New Roman" w:hAnsi="Times New Roman" w:eastAsia="方正仿宋_GBK" w:cs="Times New Roman"/>
          <w:color w:val="auto"/>
          <w:sz w:val="32"/>
          <w:szCs w:val="32"/>
          <w:lang w:eastAsia="zh-CN"/>
        </w:rPr>
        <w:t>检查</w:t>
      </w:r>
      <w:r>
        <w:rPr>
          <w:rFonts w:hint="eastAsia" w:ascii="Times New Roman" w:hAnsi="Times New Roman" w:eastAsia="方正仿宋_GBK"/>
          <w:color w:val="000000"/>
          <w:kern w:val="2"/>
          <w:sz w:val="32"/>
          <w:szCs w:val="32"/>
          <w:lang w:eastAsia="zh-CN"/>
        </w:rPr>
        <w:t>验收组验收。调查问卷质量和调查结果达标，为党委政府提供了调查报告，调查对象满意度高于</w:t>
      </w:r>
      <w:r>
        <w:rPr>
          <w:rFonts w:hint="eastAsia" w:ascii="Times New Roman" w:hAnsi="Times New Roman" w:eastAsia="方正仿宋_GBK"/>
          <w:color w:val="000000"/>
          <w:kern w:val="2"/>
          <w:sz w:val="32"/>
          <w:szCs w:val="32"/>
          <w:lang w:val="en-US" w:eastAsia="zh-CN"/>
        </w:rPr>
        <w:t>90%。</w:t>
      </w:r>
      <w:r>
        <w:rPr>
          <w:rFonts w:hint="eastAsia" w:ascii="Times New Roman" w:hAnsi="Times New Roman" w:eastAsia="方正仿宋_GBK"/>
          <w:color w:val="auto"/>
          <w:sz w:val="32"/>
          <w:szCs w:val="32"/>
          <w:lang w:val="en-US" w:eastAsia="zh-CN"/>
        </w:rPr>
        <w:t xml:space="preserve">   </w:t>
      </w:r>
    </w:p>
    <w:p>
      <w:pPr>
        <w:pageBreakBefore w:val="0"/>
        <w:numPr>
          <w:ilvl w:val="0"/>
          <w:numId w:val="8"/>
        </w:numPr>
        <w:kinsoku/>
        <w:wordWrap/>
        <w:overflowPunct/>
        <w:topLinePunct w:val="0"/>
        <w:autoSpaceDE/>
        <w:autoSpaceDN/>
        <w:bidi w:val="0"/>
        <w:adjustRightInd/>
        <w:spacing w:line="576" w:lineRule="exact"/>
        <w:ind w:firstLine="720"/>
        <w:textAlignment w:val="auto"/>
        <w:rPr>
          <w:rFonts w:hint="eastAsia" w:ascii="方正黑体_GBK" w:hAnsi="方正黑体_GBK" w:eastAsia="方正黑体_GBK" w:cs="方正黑体_GBK"/>
          <w:color w:val="000000"/>
          <w:sz w:val="32"/>
          <w:szCs w:val="32"/>
          <w:shd w:val="clear" w:color="auto" w:fill="FFFFFF"/>
          <w:lang w:bidi="ar-SA"/>
        </w:rPr>
      </w:pPr>
      <w:r>
        <w:rPr>
          <w:rFonts w:hint="eastAsia" w:ascii="方正黑体_GBK" w:hAnsi="方正黑体_GBK" w:eastAsia="方正黑体_GBK" w:cs="方正黑体_GBK"/>
          <w:color w:val="000000"/>
          <w:sz w:val="32"/>
          <w:szCs w:val="32"/>
          <w:shd w:val="clear" w:color="auto" w:fill="FFFFFF"/>
          <w:lang w:bidi="ar-SA"/>
        </w:rPr>
        <w:t>评价结论</w:t>
      </w:r>
    </w:p>
    <w:p>
      <w:pPr>
        <w:pageBreakBefore w:val="0"/>
        <w:kinsoku/>
        <w:wordWrap/>
        <w:overflowPunct/>
        <w:topLinePunct w:val="0"/>
        <w:autoSpaceDE/>
        <w:autoSpaceDN/>
        <w:bidi w:val="0"/>
        <w:adjustRightInd/>
        <w:spacing w:line="576" w:lineRule="exact"/>
        <w:ind w:firstLine="720"/>
        <w:textAlignment w:val="auto"/>
        <w:rPr>
          <w:rFonts w:hint="default" w:ascii="Times New Roman" w:hAnsi="Times New Roman" w:eastAsia="方正仿宋_GBK" w:cs="方正仿宋_GBK"/>
          <w:color w:val="000000"/>
          <w:sz w:val="32"/>
          <w:szCs w:val="32"/>
          <w:shd w:val="clear" w:color="auto" w:fill="FFFFFF"/>
          <w:lang w:val="en-US" w:eastAsia="zh-CN" w:bidi="ar-SA"/>
        </w:rPr>
      </w:pPr>
      <w:r>
        <w:rPr>
          <w:rFonts w:hint="eastAsia" w:ascii="Times New Roman" w:hAnsi="Times New Roman" w:eastAsia="方正仿宋_GBK" w:cs="方正仿宋_GBK"/>
          <w:color w:val="000000"/>
          <w:sz w:val="32"/>
          <w:szCs w:val="32"/>
          <w:shd w:val="clear" w:color="auto" w:fill="FFFFFF"/>
          <w:lang w:val="zh-CN" w:eastAsia="zh-CN" w:bidi="ar-SA"/>
        </w:rPr>
        <w:t>按照市级部门整体支出绩效评价指标体系，结合本单位202</w:t>
      </w:r>
      <w:r>
        <w:rPr>
          <w:rFonts w:hint="eastAsia" w:ascii="Times New Roman" w:hAnsi="Times New Roman" w:eastAsia="方正仿宋_GBK" w:cs="方正仿宋_GBK"/>
          <w:color w:val="000000"/>
          <w:sz w:val="32"/>
          <w:szCs w:val="32"/>
          <w:shd w:val="clear" w:color="auto" w:fill="FFFFFF"/>
          <w:lang w:val="en-US" w:eastAsia="zh-CN" w:bidi="ar-SA"/>
        </w:rPr>
        <w:t>2</w:t>
      </w:r>
      <w:r>
        <w:rPr>
          <w:rFonts w:hint="eastAsia" w:ascii="Times New Roman" w:hAnsi="Times New Roman" w:eastAsia="方正仿宋_GBK" w:cs="方正仿宋_GBK"/>
          <w:color w:val="000000"/>
          <w:sz w:val="32"/>
          <w:szCs w:val="32"/>
          <w:shd w:val="clear" w:color="auto" w:fill="FFFFFF"/>
          <w:lang w:val="zh-CN" w:eastAsia="zh-CN" w:bidi="ar-SA"/>
        </w:rPr>
        <w:t>年工作开展情况，经自评得分</w:t>
      </w:r>
      <w:r>
        <w:rPr>
          <w:rFonts w:hint="eastAsia" w:ascii="Times New Roman" w:hAnsi="Times New Roman" w:eastAsia="方正仿宋_GBK" w:cs="方正仿宋_GBK"/>
          <w:color w:val="000000"/>
          <w:sz w:val="32"/>
          <w:szCs w:val="32"/>
          <w:shd w:val="clear" w:color="auto" w:fill="FFFFFF"/>
          <w:lang w:val="en-US" w:eastAsia="zh-CN" w:bidi="ar-SA"/>
        </w:rPr>
        <w:t>98.5</w:t>
      </w:r>
      <w:r>
        <w:rPr>
          <w:rFonts w:hint="eastAsia" w:ascii="Times New Roman" w:hAnsi="Times New Roman" w:eastAsia="方正仿宋_GBK" w:cs="方正仿宋_GBK"/>
          <w:color w:val="000000"/>
          <w:sz w:val="32"/>
          <w:szCs w:val="32"/>
          <w:shd w:val="clear" w:color="auto" w:fill="FFFFFF"/>
          <w:lang w:val="zh-CN" w:eastAsia="zh-CN" w:bidi="ar-SA"/>
        </w:rPr>
        <w:t>分，扣分的主要是：未按月完成凭证打印和装订扣</w:t>
      </w:r>
      <w:r>
        <w:rPr>
          <w:rFonts w:hint="eastAsia" w:ascii="Times New Roman" w:hAnsi="Times New Roman" w:eastAsia="方正仿宋_GBK" w:cs="方正仿宋_GBK"/>
          <w:color w:val="000000"/>
          <w:sz w:val="32"/>
          <w:szCs w:val="32"/>
          <w:shd w:val="clear" w:color="auto" w:fill="FFFFFF"/>
          <w:lang w:val="en-US" w:eastAsia="zh-CN" w:bidi="ar-SA"/>
        </w:rPr>
        <w:t>0.5</w:t>
      </w:r>
      <w:r>
        <w:rPr>
          <w:rFonts w:hint="eastAsia" w:ascii="Times New Roman" w:hAnsi="Times New Roman" w:eastAsia="方正仿宋_GBK" w:cs="方正仿宋_GBK"/>
          <w:color w:val="000000"/>
          <w:sz w:val="32"/>
          <w:szCs w:val="32"/>
          <w:shd w:val="clear" w:color="auto" w:fill="FFFFFF"/>
          <w:lang w:val="zh-CN" w:eastAsia="zh-CN" w:bidi="ar-SA"/>
        </w:rPr>
        <w:t>分，部门绩效评价报告质量和措施还有待进一步优化扣</w:t>
      </w:r>
      <w:r>
        <w:rPr>
          <w:rFonts w:hint="eastAsia" w:ascii="Times New Roman" w:hAnsi="Times New Roman" w:eastAsia="方正仿宋_GBK" w:cs="方正仿宋_GBK"/>
          <w:color w:val="000000"/>
          <w:sz w:val="32"/>
          <w:szCs w:val="32"/>
          <w:shd w:val="clear" w:color="auto" w:fill="FFFFFF"/>
          <w:lang w:val="en-US" w:eastAsia="zh-CN" w:bidi="ar-SA"/>
        </w:rPr>
        <w:t>1分。</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黑体_GBK" w:cs="方正黑体_GBK"/>
          <w:color w:val="000000"/>
          <w:sz w:val="32"/>
          <w:szCs w:val="32"/>
          <w:shd w:val="clear" w:color="auto" w:fill="FFFFFF"/>
          <w:lang w:bidi="ar-SA"/>
        </w:rPr>
      </w:pPr>
      <w:r>
        <w:rPr>
          <w:rFonts w:hint="eastAsia" w:ascii="Times New Roman" w:hAnsi="Times New Roman" w:eastAsia="方正黑体_GBK" w:cs="方正黑体_GBK"/>
          <w:color w:val="000000"/>
          <w:sz w:val="32"/>
          <w:szCs w:val="32"/>
          <w:shd w:val="clear" w:color="auto" w:fill="FFFFFF"/>
          <w:lang w:bidi="ar-SA"/>
        </w:rPr>
        <w:t>五、存在的问题及建议</w:t>
      </w:r>
    </w:p>
    <w:p>
      <w:pPr>
        <w:pageBreakBefore w:val="0"/>
        <w:kinsoku/>
        <w:wordWrap/>
        <w:overflowPunct/>
        <w:topLinePunct w:val="0"/>
        <w:autoSpaceDE/>
        <w:autoSpaceDN/>
        <w:bidi w:val="0"/>
        <w:adjustRightInd/>
        <w:spacing w:line="576" w:lineRule="exact"/>
        <w:ind w:firstLine="72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（一）存在问题。</w:t>
      </w:r>
    </w:p>
    <w:p>
      <w:pPr>
        <w:pageBreakBefore w:val="0"/>
        <w:kinsoku/>
        <w:wordWrap/>
        <w:overflowPunct/>
        <w:topLinePunct w:val="0"/>
        <w:autoSpaceDE/>
        <w:autoSpaceDN/>
        <w:bidi w:val="0"/>
        <w:adjustRightInd/>
        <w:spacing w:line="576" w:lineRule="exact"/>
        <w:ind w:firstLine="720"/>
        <w:textAlignment w:val="auto"/>
        <w:rPr>
          <w:rFonts w:hint="eastAsia" w:ascii="方正仿宋_GBK" w:hAnsi="方正仿宋_GBK" w:eastAsia="方正仿宋_GBK" w:cs="方正仿宋_GBK"/>
          <w:color w:val="000000"/>
          <w:sz w:val="32"/>
          <w:szCs w:val="32"/>
          <w:shd w:val="clear" w:color="auto" w:fill="FFFFFF"/>
          <w:lang w:val="zh-CN" w:eastAsia="zh-CN" w:bidi="ar-SA"/>
        </w:rPr>
      </w:pPr>
      <w:r>
        <w:rPr>
          <w:rFonts w:hint="eastAsia" w:ascii="方正仿宋_GBK" w:hAnsi="方正仿宋_GBK" w:eastAsia="方正仿宋_GBK" w:cs="方正仿宋_GBK"/>
          <w:color w:val="000000"/>
          <w:sz w:val="32"/>
          <w:szCs w:val="32"/>
          <w:shd w:val="clear" w:color="auto" w:fill="FFFFFF"/>
          <w:lang w:val="zh-CN" w:eastAsia="zh-CN" w:bidi="ar-SA"/>
        </w:rPr>
        <w:t>一是会计档案装订不够及时。由于单位人员有限，没有专职的财务人员，导致会计凭证装订不够及时。</w:t>
      </w:r>
    </w:p>
    <w:p>
      <w:pPr>
        <w:pStyle w:val="2"/>
        <w:pageBreakBefore w:val="0"/>
        <w:kinsoku/>
        <w:wordWrap/>
        <w:overflowPunct/>
        <w:topLinePunct w:val="0"/>
        <w:autoSpaceDE/>
        <w:autoSpaceDN/>
        <w:bidi w:val="0"/>
        <w:adjustRightInd/>
        <w:spacing w:line="576" w:lineRule="exact"/>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color w:val="000000"/>
          <w:sz w:val="32"/>
          <w:szCs w:val="32"/>
          <w:shd w:val="clear" w:color="auto" w:fill="FFFFFF"/>
          <w:lang w:val="en-US" w:eastAsia="zh-CN" w:bidi="ar-SA"/>
        </w:rPr>
        <w:t xml:space="preserve">     二是绩效评价工作宣传培训有待加强。对干部职工的绩效管理工作的宣传和培训还不够频繁，有待进一步加强。</w:t>
      </w:r>
    </w:p>
    <w:p>
      <w:pPr>
        <w:pageBreakBefore w:val="0"/>
        <w:numPr>
          <w:ilvl w:val="0"/>
          <w:numId w:val="0"/>
        </w:numPr>
        <w:kinsoku/>
        <w:wordWrap/>
        <w:overflowPunct/>
        <w:topLinePunct w:val="0"/>
        <w:autoSpaceDE/>
        <w:autoSpaceDN/>
        <w:bidi w:val="0"/>
        <w:adjustRightInd/>
        <w:spacing w:line="576" w:lineRule="exact"/>
        <w:ind w:left="720" w:leftChars="0"/>
        <w:textAlignment w:val="auto"/>
        <w:rPr>
          <w:rFonts w:hint="eastAsia" w:ascii="Times New Roman" w:hAnsi="Times New Roman" w:eastAsia="方正楷体_GBK" w:cs="宋体"/>
          <w:color w:val="000000"/>
          <w:sz w:val="32"/>
          <w:szCs w:val="32"/>
          <w:shd w:val="clear" w:color="auto" w:fill="FFFFFF"/>
          <w:lang w:val="zh-CN" w:eastAsia="zh-CN" w:bidi="ar-SA"/>
        </w:rPr>
      </w:pPr>
      <w:r>
        <w:rPr>
          <w:rFonts w:hint="eastAsia" w:ascii="Times New Roman" w:hAnsi="Times New Roman" w:eastAsia="方正楷体_GBK" w:cs="宋体"/>
          <w:color w:val="000000"/>
          <w:sz w:val="32"/>
          <w:szCs w:val="32"/>
          <w:shd w:val="clear" w:color="auto" w:fill="FFFFFF"/>
          <w:lang w:val="zh-CN" w:eastAsia="zh-CN" w:bidi="ar-SA"/>
        </w:rPr>
        <w:t>（二）改进建议。</w:t>
      </w:r>
    </w:p>
    <w:p>
      <w:pPr>
        <w:pageBreakBefore w:val="0"/>
        <w:kinsoku/>
        <w:wordWrap/>
        <w:overflowPunct/>
        <w:topLinePunct w:val="0"/>
        <w:autoSpaceDE/>
        <w:autoSpaceDN/>
        <w:bidi w:val="0"/>
        <w:adjustRightInd/>
        <w:spacing w:line="576" w:lineRule="exact"/>
        <w:ind w:firstLine="720"/>
        <w:textAlignment w:val="auto"/>
        <w:rPr>
          <w:rFonts w:hint="eastAsia" w:ascii="方正仿宋_GBK" w:hAnsi="方正仿宋_GBK" w:eastAsia="方正仿宋_GBK" w:cs="方正仿宋_GBK"/>
          <w:color w:val="000000"/>
          <w:sz w:val="32"/>
          <w:szCs w:val="32"/>
          <w:shd w:val="clear" w:color="auto" w:fill="FFFFFF"/>
          <w:lang w:val="en-US" w:eastAsia="zh-CN" w:bidi="ar-SA"/>
        </w:rPr>
      </w:pPr>
      <w:r>
        <w:rPr>
          <w:rFonts w:hint="eastAsia" w:ascii="方正仿宋_GBK" w:hAnsi="方正仿宋_GBK" w:eastAsia="方正仿宋_GBK" w:cs="方正仿宋_GBK"/>
          <w:color w:val="000000"/>
          <w:sz w:val="32"/>
          <w:szCs w:val="32"/>
          <w:shd w:val="clear" w:color="auto" w:fill="FFFFFF"/>
          <w:lang w:val="en-US" w:eastAsia="zh-CN" w:bidi="ar-SA"/>
        </w:rPr>
        <w:t>一要持续加强对全局干部职工的培训，强化对绩效评价工作的宣传，不断提升全部干部职工绩效管理意识。</w:t>
      </w:r>
    </w:p>
    <w:p>
      <w:pPr>
        <w:pageBreakBefore w:val="0"/>
        <w:kinsoku/>
        <w:wordWrap/>
        <w:overflowPunct/>
        <w:topLinePunct w:val="0"/>
        <w:autoSpaceDE/>
        <w:autoSpaceDN/>
        <w:bidi w:val="0"/>
        <w:adjustRightInd/>
        <w:spacing w:line="576" w:lineRule="exact"/>
        <w:ind w:firstLine="720"/>
        <w:textAlignment w:val="auto"/>
        <w:rPr>
          <w:rFonts w:hint="eastAsia" w:ascii="方正仿宋_GBK" w:hAnsi="方正仿宋_GBK" w:eastAsia="方正仿宋_GBK" w:cs="方正仿宋_GBK"/>
          <w:color w:val="000000"/>
          <w:sz w:val="32"/>
          <w:szCs w:val="32"/>
          <w:shd w:val="clear" w:color="auto" w:fill="FFFFFF"/>
          <w:lang w:val="en-US" w:eastAsia="zh-CN" w:bidi="ar-SA"/>
        </w:rPr>
      </w:pPr>
      <w:r>
        <w:rPr>
          <w:rFonts w:hint="eastAsia" w:ascii="方正仿宋_GBK" w:hAnsi="方正仿宋_GBK" w:eastAsia="方正仿宋_GBK" w:cs="方正仿宋_GBK"/>
          <w:color w:val="000000"/>
          <w:sz w:val="32"/>
          <w:szCs w:val="32"/>
          <w:shd w:val="clear" w:color="auto" w:fill="FFFFFF"/>
          <w:lang w:val="en-US" w:eastAsia="zh-CN" w:bidi="ar-SA"/>
        </w:rPr>
        <w:t>二是单位财务人员要不断提升自身的工作能力和业务水平。加强对预算绩效管理制度、规定的学习，提高本单位预算绩效管理工作水平。</w:t>
      </w:r>
    </w:p>
    <w:p>
      <w:pPr>
        <w:pageBreakBefore w:val="0"/>
        <w:kinsoku/>
        <w:wordWrap/>
        <w:overflowPunct/>
        <w:topLinePunct w:val="0"/>
        <w:autoSpaceDE/>
        <w:autoSpaceDN/>
        <w:bidi w:val="0"/>
        <w:adjustRightInd/>
        <w:spacing w:line="576" w:lineRule="exact"/>
        <w:ind w:firstLine="720"/>
        <w:textAlignment w:val="auto"/>
        <w:rPr>
          <w:rFonts w:hint="eastAsia"/>
        </w:rPr>
      </w:pPr>
      <w:r>
        <w:rPr>
          <w:rFonts w:hint="eastAsia" w:ascii="方正仿宋_GBK" w:hAnsi="方正仿宋_GBK" w:eastAsia="方正仿宋_GBK" w:cs="方正仿宋_GBK"/>
          <w:color w:val="000000"/>
          <w:sz w:val="32"/>
          <w:szCs w:val="32"/>
          <w:shd w:val="clear" w:color="auto" w:fill="FFFFFF"/>
          <w:lang w:val="en-US" w:eastAsia="zh-CN" w:bidi="ar-SA"/>
        </w:rPr>
        <w:t>三要不断强化单位财政资金的使用和管理，有效发挥财政资金效益。</w:t>
      </w: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部门预算项目支出绩效自评表（2022年度）</w:t>
      </w: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6"/>
      </w:pPr>
      <w:r>
        <w:drawing>
          <wp:inline distT="0" distB="0" distL="114300" distR="114300">
            <wp:extent cx="5476875" cy="7286625"/>
            <wp:effectExtent l="0" t="0" r="9525"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5476875" cy="7286625"/>
                    </a:xfrm>
                    <a:prstGeom prst="rect">
                      <a:avLst/>
                    </a:prstGeom>
                    <a:noFill/>
                    <a:ln>
                      <a:noFill/>
                    </a:ln>
                  </pic:spPr>
                </pic:pic>
              </a:graphicData>
            </a:graphic>
          </wp:inline>
        </w:drawing>
      </w:r>
    </w:p>
    <w:p>
      <w:pPr>
        <w:pStyle w:val="6"/>
      </w:pPr>
    </w:p>
    <w:p>
      <w:pPr>
        <w:pStyle w:val="6"/>
      </w:pPr>
    </w:p>
    <w:p>
      <w:pPr>
        <w:pStyle w:val="6"/>
      </w:pPr>
    </w:p>
    <w:p>
      <w:pPr>
        <w:pStyle w:val="6"/>
      </w:pPr>
      <w:r>
        <w:drawing>
          <wp:inline distT="0" distB="0" distL="114300" distR="114300">
            <wp:extent cx="5735955" cy="7985760"/>
            <wp:effectExtent l="0" t="0" r="17145"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735955" cy="7985760"/>
                    </a:xfrm>
                    <a:prstGeom prst="rect">
                      <a:avLst/>
                    </a:prstGeom>
                    <a:noFill/>
                    <a:ln>
                      <a:noFill/>
                    </a:ln>
                  </pic:spPr>
                </pic:pic>
              </a:graphicData>
            </a:graphic>
          </wp:inline>
        </w:drawing>
      </w:r>
    </w:p>
    <w:p>
      <w:pPr>
        <w:pStyle w:val="6"/>
        <w:rPr>
          <w:rFonts w:hint="eastAsia" w:hAnsi="宋体" w:cs="宋体"/>
          <w:color w:val="auto"/>
          <w:kern w:val="0"/>
          <w:sz w:val="32"/>
          <w:szCs w:val="32"/>
          <w:highlight w:val="none"/>
          <w:shd w:val="clear" w:color="auto" w:fill="FFFFFF"/>
          <w:lang w:val="zh-CN"/>
        </w:rPr>
      </w:pPr>
    </w:p>
    <w:p>
      <w:pPr>
        <w:pStyle w:val="6"/>
        <w:rPr>
          <w:rFonts w:hint="eastAsia" w:hAnsi="宋体" w:cs="宋体"/>
          <w:color w:val="auto"/>
          <w:kern w:val="0"/>
          <w:sz w:val="32"/>
          <w:szCs w:val="32"/>
          <w:highlight w:val="none"/>
          <w:shd w:val="clear" w:color="auto" w:fill="FFFFFF"/>
          <w:lang w:val="zh-CN"/>
        </w:rPr>
      </w:pPr>
      <w:r>
        <w:drawing>
          <wp:inline distT="0" distB="0" distL="114300" distR="114300">
            <wp:extent cx="5571490" cy="8493760"/>
            <wp:effectExtent l="0" t="0" r="10160"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5571490" cy="8493760"/>
                    </a:xfrm>
                    <a:prstGeom prst="rect">
                      <a:avLst/>
                    </a:prstGeom>
                    <a:noFill/>
                    <a:ln>
                      <a:noFill/>
                    </a:ln>
                  </pic:spPr>
                </pic:pic>
              </a:graphicData>
            </a:graphic>
          </wp:inline>
        </w:drawing>
      </w:r>
    </w:p>
    <w:p>
      <w:pPr>
        <w:pStyle w:val="6"/>
        <w:rPr>
          <w:rFonts w:hint="eastAsia" w:hAnsi="宋体" w:cs="宋体"/>
          <w:color w:val="auto"/>
          <w:kern w:val="0"/>
          <w:sz w:val="32"/>
          <w:szCs w:val="32"/>
          <w:highlight w:val="none"/>
          <w:shd w:val="clear" w:color="auto" w:fill="FFFFFF"/>
          <w:lang w:val="zh-CN"/>
        </w:rPr>
      </w:pPr>
      <w:r>
        <w:drawing>
          <wp:inline distT="0" distB="0" distL="114300" distR="114300">
            <wp:extent cx="5613400" cy="7927975"/>
            <wp:effectExtent l="0" t="0" r="6350" b="158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613400" cy="7927975"/>
                    </a:xfrm>
                    <a:prstGeom prst="rect">
                      <a:avLst/>
                    </a:prstGeom>
                    <a:noFill/>
                    <a:ln>
                      <a:noFill/>
                    </a:ln>
                  </pic:spPr>
                </pic:pic>
              </a:graphicData>
            </a:graphic>
          </wp:inline>
        </w:drawing>
      </w:r>
    </w:p>
    <w:p>
      <w:pPr>
        <w:pStyle w:val="6"/>
        <w:rPr>
          <w:rFonts w:hint="eastAsia" w:hAnsi="宋体" w:cs="宋体"/>
          <w:color w:val="auto"/>
          <w:kern w:val="0"/>
          <w:sz w:val="32"/>
          <w:szCs w:val="32"/>
          <w:highlight w:val="none"/>
          <w:shd w:val="clear" w:color="auto" w:fill="FFFFFF"/>
          <w:lang w:val="zh-CN"/>
        </w:rPr>
      </w:pPr>
    </w:p>
    <w:p>
      <w:pPr>
        <w:pStyle w:val="6"/>
        <w:rPr>
          <w:rFonts w:hint="eastAsia" w:hAnsi="宋体" w:cs="宋体"/>
          <w:color w:val="auto"/>
          <w:kern w:val="0"/>
          <w:sz w:val="32"/>
          <w:szCs w:val="32"/>
          <w:highlight w:val="none"/>
          <w:shd w:val="clear" w:color="auto" w:fill="FFFFFF"/>
          <w:lang w:val="zh-CN"/>
        </w:rPr>
      </w:pPr>
    </w:p>
    <w:p>
      <w:pPr>
        <w:pStyle w:val="6"/>
        <w:rPr>
          <w:rFonts w:hint="eastAsia" w:hAnsi="宋体" w:cs="宋体"/>
          <w:color w:val="auto"/>
          <w:kern w:val="0"/>
          <w:sz w:val="32"/>
          <w:szCs w:val="32"/>
          <w:highlight w:val="none"/>
          <w:shd w:val="clear" w:color="auto" w:fill="FFFFFF"/>
          <w:lang w:val="zh-CN"/>
        </w:rPr>
      </w:pPr>
      <w:r>
        <w:drawing>
          <wp:inline distT="0" distB="0" distL="114300" distR="114300">
            <wp:extent cx="5609590" cy="7696200"/>
            <wp:effectExtent l="0" t="0" r="1016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8"/>
                    <a:stretch>
                      <a:fillRect/>
                    </a:stretch>
                  </pic:blipFill>
                  <pic:spPr>
                    <a:xfrm>
                      <a:off x="0" y="0"/>
                      <a:ext cx="5609590" cy="7696200"/>
                    </a:xfrm>
                    <a:prstGeom prst="rect">
                      <a:avLst/>
                    </a:prstGeom>
                    <a:noFill/>
                    <a:ln>
                      <a:noFill/>
                    </a:ln>
                  </pic:spPr>
                </pic:pic>
              </a:graphicData>
            </a:graphic>
          </wp:inline>
        </w:drawing>
      </w:r>
    </w:p>
    <w:p>
      <w:pPr>
        <w:pStyle w:val="6"/>
        <w:rPr>
          <w:rFonts w:hint="eastAsia" w:hAnsi="宋体" w:cs="宋体"/>
          <w:color w:val="auto"/>
          <w:kern w:val="0"/>
          <w:sz w:val="32"/>
          <w:szCs w:val="32"/>
          <w:highlight w:val="none"/>
          <w:shd w:val="clear" w:color="auto" w:fill="FFFFFF"/>
          <w:lang w:val="zh-CN"/>
        </w:rPr>
      </w:pPr>
    </w:p>
    <w:p>
      <w:pPr>
        <w:pStyle w:val="6"/>
        <w:rPr>
          <w:rFonts w:hint="eastAsia" w:hAnsi="宋体" w:cs="宋体"/>
          <w:color w:val="auto"/>
          <w:kern w:val="0"/>
          <w:sz w:val="32"/>
          <w:szCs w:val="32"/>
          <w:highlight w:val="none"/>
          <w:shd w:val="clear" w:color="auto" w:fill="FFFFFF"/>
          <w:lang w:val="zh-CN"/>
        </w:rPr>
      </w:pPr>
    </w:p>
    <w:p>
      <w:pPr>
        <w:pStyle w:val="6"/>
        <w:rPr>
          <w:rFonts w:hint="eastAsia" w:hAnsi="宋体" w:cs="宋体"/>
          <w:color w:val="auto"/>
          <w:kern w:val="0"/>
          <w:sz w:val="32"/>
          <w:szCs w:val="32"/>
          <w:highlight w:val="none"/>
          <w:shd w:val="clear" w:color="auto" w:fill="FFFFFF"/>
          <w:lang w:val="zh-CN"/>
        </w:rPr>
      </w:pPr>
      <w:r>
        <w:drawing>
          <wp:inline distT="0" distB="0" distL="114300" distR="114300">
            <wp:extent cx="5528310" cy="7919720"/>
            <wp:effectExtent l="0" t="0" r="15240" b="50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5528310" cy="7919720"/>
                    </a:xfrm>
                    <a:prstGeom prst="rect">
                      <a:avLst/>
                    </a:prstGeom>
                    <a:noFill/>
                    <a:ln>
                      <a:noFill/>
                    </a:ln>
                  </pic:spPr>
                </pic:pic>
              </a:graphicData>
            </a:graphic>
          </wp:inline>
        </w:drawing>
      </w:r>
    </w:p>
    <w:p>
      <w:pPr>
        <w:pStyle w:val="6"/>
        <w:rPr>
          <w:rFonts w:hint="eastAsia" w:hAnsi="宋体" w:cs="宋体"/>
          <w:color w:val="auto"/>
          <w:kern w:val="0"/>
          <w:sz w:val="32"/>
          <w:szCs w:val="32"/>
          <w:highlight w:val="none"/>
          <w:shd w:val="clear" w:color="auto" w:fill="FFFFFF"/>
          <w:lang w:val="zh-CN"/>
        </w:rPr>
      </w:pPr>
    </w:p>
    <w:p>
      <w:pPr>
        <w:pStyle w:val="6"/>
        <w:rPr>
          <w:rFonts w:hint="eastAsia" w:hAnsi="宋体" w:cs="宋体"/>
          <w:color w:val="auto"/>
          <w:kern w:val="0"/>
          <w:sz w:val="32"/>
          <w:szCs w:val="32"/>
          <w:highlight w:val="none"/>
          <w:shd w:val="clear" w:color="auto" w:fill="FFFFFF"/>
          <w:lang w:val="zh-CN"/>
        </w:rPr>
      </w:pPr>
    </w:p>
    <w:p>
      <w:pPr>
        <w:spacing w:line="600" w:lineRule="exact"/>
        <w:jc w:val="center"/>
        <w:outlineLvl w:val="0"/>
        <w:rPr>
          <w:rFonts w:hint="eastAsia" w:ascii="仿宋" w:hAnsi="仿宋" w:eastAsia="仿宋"/>
          <w:b w:val="0"/>
          <w:color w:val="auto"/>
          <w:highlight w:val="none"/>
        </w:rPr>
      </w:pPr>
      <w:bookmarkStart w:id="78" w:name="_Toc15396618"/>
      <w:bookmarkStart w:id="79" w:name="_Toc22884"/>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五部分 附表</w:t>
      </w:r>
      <w:bookmarkEnd w:id="76"/>
      <w:bookmarkEnd w:id="78"/>
      <w:bookmarkEnd w:id="79"/>
      <w:bookmarkStart w:id="80" w:name="_Toc15396619"/>
    </w:p>
    <w:p>
      <w:pPr>
        <w:pStyle w:val="4"/>
        <w:rPr>
          <w:rFonts w:ascii="仿宋" w:hAnsi="仿宋" w:eastAsia="仿宋"/>
          <w:color w:val="auto"/>
          <w:highlight w:val="none"/>
        </w:rPr>
      </w:pPr>
      <w:bookmarkStart w:id="81" w:name="_Toc2757"/>
      <w:r>
        <w:rPr>
          <w:rFonts w:hint="eastAsia" w:ascii="仿宋" w:hAnsi="仿宋" w:eastAsia="仿宋"/>
          <w:b w:val="0"/>
          <w:color w:val="auto"/>
          <w:highlight w:val="none"/>
        </w:rPr>
        <w:t>一、收</w:t>
      </w:r>
      <w:r>
        <w:rPr>
          <w:rStyle w:val="29"/>
          <w:rFonts w:hint="eastAsia" w:ascii="仿宋" w:hAnsi="仿宋" w:eastAsia="仿宋"/>
          <w:b w:val="0"/>
          <w:bCs w:val="0"/>
          <w:color w:val="auto"/>
          <w:highlight w:val="none"/>
        </w:rPr>
        <w:t>入支出决算总表</w:t>
      </w:r>
      <w:bookmarkEnd w:id="80"/>
      <w:bookmarkEnd w:id="81"/>
    </w:p>
    <w:p>
      <w:pPr>
        <w:pStyle w:val="4"/>
        <w:rPr>
          <w:rFonts w:ascii="仿宋" w:hAnsi="仿宋" w:eastAsia="仿宋"/>
          <w:color w:val="auto"/>
          <w:highlight w:val="none"/>
        </w:rPr>
      </w:pPr>
      <w:bookmarkStart w:id="82" w:name="_Toc29781"/>
      <w:bookmarkStart w:id="83" w:name="_Toc15396620"/>
      <w:r>
        <w:rPr>
          <w:rFonts w:hint="eastAsia" w:ascii="仿宋" w:hAnsi="仿宋" w:eastAsia="仿宋"/>
          <w:b w:val="0"/>
          <w:color w:val="auto"/>
          <w:highlight w:val="none"/>
        </w:rPr>
        <w:t>二、收</w:t>
      </w:r>
      <w:r>
        <w:rPr>
          <w:rStyle w:val="29"/>
          <w:rFonts w:hint="eastAsia" w:ascii="仿宋" w:hAnsi="仿宋" w:eastAsia="仿宋"/>
          <w:b w:val="0"/>
          <w:bCs w:val="0"/>
          <w:color w:val="auto"/>
          <w:highlight w:val="none"/>
        </w:rPr>
        <w:t>入决算表</w:t>
      </w:r>
      <w:bookmarkEnd w:id="82"/>
      <w:bookmarkEnd w:id="83"/>
    </w:p>
    <w:p>
      <w:pPr>
        <w:pStyle w:val="4"/>
        <w:rPr>
          <w:rFonts w:ascii="仿宋" w:hAnsi="仿宋" w:eastAsia="仿宋"/>
          <w:color w:val="auto"/>
          <w:highlight w:val="none"/>
        </w:rPr>
      </w:pPr>
      <w:bookmarkStart w:id="84" w:name="_Toc15396621"/>
      <w:bookmarkStart w:id="85" w:name="_Toc32502"/>
      <w:r>
        <w:rPr>
          <w:rStyle w:val="29"/>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9"/>
          <w:rFonts w:hint="eastAsia" w:ascii="仿宋" w:hAnsi="仿宋" w:eastAsia="仿宋"/>
          <w:b w:val="0"/>
          <w:bCs w:val="0"/>
          <w:color w:val="auto"/>
          <w:highlight w:val="none"/>
        </w:rPr>
        <w:t>出决算表</w:t>
      </w:r>
      <w:bookmarkEnd w:id="84"/>
      <w:bookmarkEnd w:id="85"/>
    </w:p>
    <w:p>
      <w:pPr>
        <w:pStyle w:val="4"/>
        <w:rPr>
          <w:rFonts w:ascii="仿宋" w:hAnsi="仿宋" w:eastAsia="仿宋"/>
          <w:b w:val="0"/>
          <w:color w:val="auto"/>
          <w:highlight w:val="none"/>
        </w:rPr>
      </w:pPr>
      <w:bookmarkStart w:id="86" w:name="_Toc2005"/>
      <w:bookmarkStart w:id="87" w:name="_Toc15396622"/>
      <w:r>
        <w:rPr>
          <w:rStyle w:val="29"/>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政拨款收入支出决算总表</w:t>
      </w:r>
      <w:bookmarkEnd w:id="86"/>
      <w:bookmarkEnd w:id="87"/>
    </w:p>
    <w:p>
      <w:pPr>
        <w:pStyle w:val="4"/>
        <w:rPr>
          <w:rStyle w:val="29"/>
          <w:rFonts w:ascii="仿宋" w:hAnsi="仿宋" w:eastAsia="仿宋"/>
          <w:b w:val="0"/>
          <w:bCs w:val="0"/>
          <w:color w:val="auto"/>
          <w:highlight w:val="none"/>
        </w:rPr>
      </w:pPr>
      <w:bookmarkStart w:id="88" w:name="_Toc15396623"/>
      <w:bookmarkStart w:id="89" w:name="_Toc14055"/>
      <w:r>
        <w:rPr>
          <w:rStyle w:val="29"/>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政拨款支出决算明细表</w:t>
      </w:r>
      <w:bookmarkEnd w:id="88"/>
      <w:bookmarkEnd w:id="89"/>
      <w:bookmarkStart w:id="90" w:name="_Toc15396624"/>
    </w:p>
    <w:p>
      <w:pPr>
        <w:pStyle w:val="4"/>
        <w:rPr>
          <w:rFonts w:ascii="仿宋" w:hAnsi="仿宋" w:eastAsia="仿宋"/>
          <w:color w:val="auto"/>
          <w:highlight w:val="none"/>
        </w:rPr>
      </w:pPr>
      <w:bookmarkStart w:id="91" w:name="_Toc16595"/>
      <w:r>
        <w:rPr>
          <w:rStyle w:val="29"/>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般公共预算财政拨款支出决算表</w:t>
      </w:r>
      <w:bookmarkEnd w:id="90"/>
      <w:bookmarkEnd w:id="91"/>
    </w:p>
    <w:p>
      <w:pPr>
        <w:pStyle w:val="4"/>
        <w:rPr>
          <w:rFonts w:ascii="仿宋" w:hAnsi="仿宋" w:eastAsia="仿宋"/>
          <w:color w:val="auto"/>
          <w:highlight w:val="none"/>
        </w:rPr>
      </w:pPr>
      <w:bookmarkStart w:id="92" w:name="_Toc16663"/>
      <w:bookmarkStart w:id="93" w:name="_Toc15396625"/>
      <w:r>
        <w:rPr>
          <w:rStyle w:val="29"/>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般公共预算财政拨款支出决算明细表</w:t>
      </w:r>
      <w:bookmarkEnd w:id="92"/>
      <w:bookmarkEnd w:id="93"/>
    </w:p>
    <w:p>
      <w:pPr>
        <w:pStyle w:val="4"/>
        <w:rPr>
          <w:rFonts w:ascii="仿宋" w:hAnsi="仿宋" w:eastAsia="仿宋"/>
          <w:color w:val="auto"/>
          <w:highlight w:val="none"/>
        </w:rPr>
      </w:pPr>
      <w:bookmarkStart w:id="94" w:name="_Toc15396626"/>
      <w:bookmarkStart w:id="95" w:name="_Toc31712"/>
      <w:r>
        <w:rPr>
          <w:rStyle w:val="29"/>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般公共预算财政拨款基本支出决算表</w:t>
      </w:r>
      <w:bookmarkEnd w:id="94"/>
      <w:bookmarkEnd w:id="95"/>
    </w:p>
    <w:p>
      <w:pPr>
        <w:pStyle w:val="4"/>
        <w:rPr>
          <w:rFonts w:ascii="仿宋" w:hAnsi="仿宋" w:eastAsia="仿宋"/>
          <w:color w:val="auto"/>
          <w:highlight w:val="none"/>
        </w:rPr>
      </w:pPr>
      <w:bookmarkStart w:id="96" w:name="_Toc6077"/>
      <w:bookmarkStart w:id="97" w:name="_Toc15396627"/>
      <w:r>
        <w:rPr>
          <w:rStyle w:val="29"/>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般公共预算财政拨款项目支出决算表</w:t>
      </w:r>
      <w:bookmarkEnd w:id="96"/>
      <w:bookmarkEnd w:id="97"/>
    </w:p>
    <w:p>
      <w:pPr>
        <w:pStyle w:val="4"/>
        <w:rPr>
          <w:rFonts w:ascii="仿宋" w:hAnsi="仿宋" w:eastAsia="仿宋"/>
          <w:color w:val="auto"/>
          <w:highlight w:val="none"/>
        </w:rPr>
      </w:pPr>
      <w:bookmarkStart w:id="98" w:name="_Toc15396628"/>
      <w:bookmarkStart w:id="99" w:name="_Toc8880"/>
      <w:r>
        <w:rPr>
          <w:rStyle w:val="29"/>
          <w:rFonts w:hint="eastAsia" w:ascii="仿宋" w:hAnsi="仿宋" w:eastAsia="仿宋"/>
          <w:b w:val="0"/>
          <w:bCs w:val="0"/>
          <w:color w:val="auto"/>
          <w:highlight w:val="none"/>
        </w:rPr>
        <w:t>十、</w:t>
      </w:r>
      <w:bookmarkEnd w:id="98"/>
      <w:r>
        <w:rPr>
          <w:rFonts w:hint="eastAsia" w:ascii="仿宋" w:hAnsi="仿宋" w:eastAsia="仿宋"/>
          <w:b w:val="0"/>
          <w:color w:val="auto"/>
          <w:highlight w:val="none"/>
        </w:rPr>
        <w:t>政</w:t>
      </w:r>
      <w:r>
        <w:rPr>
          <w:rStyle w:val="29"/>
          <w:rFonts w:hint="eastAsia" w:ascii="仿宋" w:hAnsi="仿宋" w:eastAsia="仿宋"/>
          <w:b w:val="0"/>
          <w:bCs w:val="0"/>
          <w:color w:val="auto"/>
          <w:highlight w:val="none"/>
        </w:rPr>
        <w:t>府性基金预算财政拨款收入支出决算表</w:t>
      </w:r>
      <w:bookmarkEnd w:id="99"/>
    </w:p>
    <w:p>
      <w:pPr>
        <w:pStyle w:val="4"/>
        <w:rPr>
          <w:rFonts w:ascii="仿宋" w:hAnsi="仿宋" w:eastAsia="仿宋"/>
          <w:color w:val="auto"/>
          <w:highlight w:val="none"/>
        </w:rPr>
      </w:pPr>
      <w:bookmarkStart w:id="100" w:name="_Toc15396629"/>
      <w:bookmarkStart w:id="101" w:name="_Toc23717"/>
      <w:r>
        <w:rPr>
          <w:rStyle w:val="29"/>
          <w:rFonts w:hint="eastAsia" w:ascii="仿宋" w:hAnsi="仿宋" w:eastAsia="仿宋"/>
          <w:b w:val="0"/>
          <w:bCs w:val="0"/>
          <w:color w:val="auto"/>
          <w:highlight w:val="none"/>
        </w:rPr>
        <w:t>十一、</w:t>
      </w:r>
      <w:bookmarkEnd w:id="100"/>
      <w:r>
        <w:rPr>
          <w:rFonts w:hint="eastAsia" w:ascii="仿宋" w:hAnsi="仿宋" w:eastAsia="仿宋"/>
          <w:b w:val="0"/>
          <w:color w:val="auto"/>
          <w:highlight w:val="none"/>
        </w:rPr>
        <w:t>国</w:t>
      </w:r>
      <w:r>
        <w:rPr>
          <w:rStyle w:val="29"/>
          <w:rFonts w:hint="eastAsia" w:ascii="仿宋" w:hAnsi="仿宋" w:eastAsia="仿宋"/>
          <w:b w:val="0"/>
          <w:bCs w:val="0"/>
          <w:color w:val="auto"/>
          <w:highlight w:val="none"/>
        </w:rPr>
        <w:t>有资本经营预算</w:t>
      </w:r>
      <w:r>
        <w:rPr>
          <w:rStyle w:val="29"/>
          <w:rFonts w:hint="eastAsia" w:ascii="仿宋" w:hAnsi="仿宋" w:eastAsia="仿宋"/>
          <w:b w:val="0"/>
          <w:bCs w:val="0"/>
          <w:color w:val="auto"/>
          <w:highlight w:val="none"/>
          <w:lang w:eastAsia="zh-CN"/>
        </w:rPr>
        <w:t>财政拨款收入</w:t>
      </w:r>
      <w:r>
        <w:rPr>
          <w:rStyle w:val="29"/>
          <w:rFonts w:hint="eastAsia" w:ascii="仿宋" w:hAnsi="仿宋" w:eastAsia="仿宋"/>
          <w:b w:val="0"/>
          <w:bCs w:val="0"/>
          <w:color w:val="auto"/>
          <w:highlight w:val="none"/>
        </w:rPr>
        <w:t>支出决算表</w:t>
      </w:r>
      <w:bookmarkEnd w:id="101"/>
    </w:p>
    <w:p>
      <w:pPr>
        <w:pStyle w:val="4"/>
        <w:rPr>
          <w:rFonts w:ascii="仿宋" w:hAnsi="仿宋" w:eastAsia="仿宋"/>
          <w:color w:val="auto"/>
          <w:highlight w:val="none"/>
        </w:rPr>
      </w:pPr>
      <w:bookmarkStart w:id="102" w:name="_Toc15396630"/>
      <w:bookmarkStart w:id="103" w:name="_Toc31497"/>
      <w:r>
        <w:rPr>
          <w:rStyle w:val="29"/>
          <w:rFonts w:hint="eastAsia" w:ascii="仿宋" w:hAnsi="仿宋" w:eastAsia="仿宋"/>
          <w:b w:val="0"/>
          <w:bCs w:val="0"/>
          <w:color w:val="auto"/>
          <w:highlight w:val="none"/>
        </w:rPr>
        <w:t>十二、</w:t>
      </w:r>
      <w:bookmarkEnd w:id="102"/>
      <w:r>
        <w:rPr>
          <w:rStyle w:val="29"/>
          <w:rFonts w:hint="eastAsia" w:ascii="仿宋" w:hAnsi="仿宋" w:eastAsia="仿宋"/>
          <w:b w:val="0"/>
          <w:bCs w:val="0"/>
          <w:color w:val="auto"/>
          <w:highlight w:val="none"/>
          <w:lang w:eastAsia="zh-CN"/>
        </w:rPr>
        <w:t>国有资本经营预算财政拨款支出决算表</w:t>
      </w:r>
      <w:bookmarkEnd w:id="103"/>
    </w:p>
    <w:p>
      <w:pPr>
        <w:pStyle w:val="4"/>
        <w:rPr>
          <w:rFonts w:hint="eastAsia" w:eastAsia="仿宋"/>
          <w:color w:val="auto"/>
          <w:highlight w:val="none"/>
          <w:lang w:eastAsia="zh-CN"/>
        </w:rPr>
      </w:pPr>
      <w:bookmarkStart w:id="104" w:name="_Toc15396631"/>
      <w:bookmarkStart w:id="105" w:name="_Toc25862"/>
      <w:r>
        <w:rPr>
          <w:rStyle w:val="29"/>
          <w:rFonts w:hint="eastAsia" w:ascii="仿宋" w:hAnsi="仿宋" w:eastAsia="仿宋"/>
          <w:b w:val="0"/>
          <w:bCs w:val="0"/>
          <w:color w:val="auto"/>
          <w:highlight w:val="none"/>
        </w:rPr>
        <w:t>十三、</w:t>
      </w:r>
      <w:bookmarkEnd w:id="104"/>
      <w:r>
        <w:rPr>
          <w:rStyle w:val="29"/>
          <w:rFonts w:hint="eastAsia" w:ascii="仿宋" w:hAnsi="仿宋" w:eastAsia="仿宋"/>
          <w:b w:val="0"/>
          <w:bCs w:val="0"/>
          <w:color w:val="auto"/>
          <w:highlight w:val="none"/>
          <w:lang w:eastAsia="zh-CN"/>
        </w:rPr>
        <w:t>财政拨款“三公”经费支出决算表</w:t>
      </w:r>
      <w:bookmarkEnd w:id="105"/>
    </w:p>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0206E3-14E3-42D4-82DD-F7056BC923F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EDD663F-0E64-49C6-B104-53D6352768CF}"/>
  </w:font>
  <w:font w:name="Cambria">
    <w:panose1 w:val="02040503050406030204"/>
    <w:charset w:val="00"/>
    <w:family w:val="roman"/>
    <w:pitch w:val="default"/>
    <w:sig w:usb0="E00002FF" w:usb1="400004FF" w:usb2="00000000" w:usb3="00000000" w:csb0="2000019F" w:csb1="00000000"/>
    <w:embedRegular r:id="rId3" w:fontKey="{5CD649E8-7A9F-4895-B32A-B177DFCC7DEC}"/>
  </w:font>
  <w:font w:name="仿宋">
    <w:panose1 w:val="02010609060101010101"/>
    <w:charset w:val="86"/>
    <w:family w:val="modern"/>
    <w:pitch w:val="default"/>
    <w:sig w:usb0="800002BF" w:usb1="38CF7CFA" w:usb2="00000016" w:usb3="00000000" w:csb0="00040001" w:csb1="00000000"/>
    <w:embedRegular r:id="rId4" w:fontKey="{41884546-8E86-465F-BCDC-349B2E183DD9}"/>
  </w:font>
  <w:font w:name="仿宋_GB2312">
    <w:panose1 w:val="02010609030101010101"/>
    <w:charset w:val="86"/>
    <w:family w:val="modern"/>
    <w:pitch w:val="default"/>
    <w:sig w:usb0="00000001" w:usb1="080E0000" w:usb2="00000000" w:usb3="00000000" w:csb0="00040000" w:csb1="00000000"/>
    <w:embedRegular r:id="rId5" w:fontKey="{A1893642-2C6A-43F8-9AB9-1589DEB004EA}"/>
  </w:font>
  <w:font w:nam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embedRegular r:id="rId6" w:fontKey="{AC03353D-FC1B-4046-8D8A-F4DB9C574A96}"/>
  </w:font>
  <w:font w:name="方正仿宋_GBK">
    <w:panose1 w:val="03000509000000000000"/>
    <w:charset w:val="86"/>
    <w:family w:val="script"/>
    <w:pitch w:val="default"/>
    <w:sig w:usb0="00000001" w:usb1="080E0000" w:usb2="00000000" w:usb3="00000000" w:csb0="00040000" w:csb1="00000000"/>
    <w:embedRegular r:id="rId7" w:fontKey="{14A4C5F6-2667-43F7-A4FC-D3D48E662D7F}"/>
  </w:font>
  <w:font w:name="方正楷体_GBK">
    <w:panose1 w:val="03000509000000000000"/>
    <w:charset w:val="86"/>
    <w:family w:val="script"/>
    <w:pitch w:val="default"/>
    <w:sig w:usb0="00000001" w:usb1="080E0000" w:usb2="00000000" w:usb3="00000000" w:csb0="00040000" w:csb1="00000000"/>
    <w:embedRegular r:id="rId8" w:fontKey="{50B55AC7-E0E3-4F9A-9424-A2AD3FEF7F23}"/>
  </w:font>
  <w:font w:name="方正仿宋简体">
    <w:altName w:val="Arial Unicode MS"/>
    <w:panose1 w:val="03000509000000000000"/>
    <w:charset w:val="86"/>
    <w:family w:val="auto"/>
    <w:pitch w:val="default"/>
    <w:sig w:usb0="00000000" w:usb1="00000000" w:usb2="00000000" w:usb3="00000000" w:csb0="00040000" w:csb1="00000000"/>
    <w:embedRegular r:id="rId9" w:fontKey="{B136F9A8-8778-400C-8C8A-0FCDF763C17B}"/>
  </w:font>
  <w:font w:name="方正黑体_GBK">
    <w:panose1 w:val="03000509000000000000"/>
    <w:charset w:val="86"/>
    <w:family w:val="auto"/>
    <w:pitch w:val="default"/>
    <w:sig w:usb0="00000001" w:usb1="080E0000" w:usb2="00000000" w:usb3="00000000" w:csb0="00040000" w:csb1="00000000"/>
    <w:embedRegular r:id="rId10" w:fontKey="{FFCB2E4B-5562-4E41-955E-E00A39E032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0"/>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10"/>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F6A124"/>
    <w:multiLevelType w:val="singleLevel"/>
    <w:tmpl w:val="C2F6A124"/>
    <w:lvl w:ilvl="0" w:tentative="0">
      <w:start w:val="2"/>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1889AB2E"/>
    <w:multiLevelType w:val="singleLevel"/>
    <w:tmpl w:val="1889AB2E"/>
    <w:lvl w:ilvl="0" w:tentative="0">
      <w:start w:val="1"/>
      <w:numFmt w:val="chineseCounting"/>
      <w:suff w:val="nothing"/>
      <w:lvlText w:val="（%1）"/>
      <w:lvlJc w:val="left"/>
      <w:rPr>
        <w:rFonts w:hint="eastAsia"/>
      </w:rPr>
    </w:lvl>
  </w:abstractNum>
  <w:abstractNum w:abstractNumId="5">
    <w:nsid w:val="526A7D70"/>
    <w:multiLevelType w:val="singleLevel"/>
    <w:tmpl w:val="526A7D70"/>
    <w:lvl w:ilvl="0" w:tentative="0">
      <w:start w:val="2"/>
      <w:numFmt w:val="chineseCounting"/>
      <w:suff w:val="nothing"/>
      <w:lvlText w:val="（%1）"/>
      <w:lvlJc w:val="left"/>
      <w:rPr>
        <w:rFonts w:hint="eastAsia"/>
      </w:rPr>
    </w:lvl>
  </w:abstractNum>
  <w:abstractNum w:abstractNumId="6">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7">
    <w:nsid w:val="70F11828"/>
    <w:multiLevelType w:val="singleLevel"/>
    <w:tmpl w:val="70F11828"/>
    <w:lvl w:ilvl="0" w:tentative="0">
      <w:start w:val="4"/>
      <w:numFmt w:val="chineseCounting"/>
      <w:suff w:val="nothing"/>
      <w:lvlText w:val="%1、"/>
      <w:lvlJc w:val="left"/>
      <w:rPr>
        <w:rFonts w:hint="eastAsia"/>
      </w:rPr>
    </w:lvl>
  </w:abstractNum>
  <w:num w:numId="1">
    <w:abstractNumId w:val="6"/>
  </w:num>
  <w:num w:numId="2">
    <w:abstractNumId w:val="3"/>
  </w:num>
  <w:num w:numId="3">
    <w:abstractNumId w:val="1"/>
  </w:num>
  <w:num w:numId="4">
    <w:abstractNumId w:val="2"/>
  </w:num>
  <w:num w:numId="5">
    <w:abstractNumId w:val="0"/>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jMDdiM2M3OTYwYTg4NzQxYWFjYWFkZjM0N2I4NjA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5802AF2"/>
    <w:rsid w:val="066E0107"/>
    <w:rsid w:val="07996F6E"/>
    <w:rsid w:val="09E4695C"/>
    <w:rsid w:val="0A2032A3"/>
    <w:rsid w:val="0E3B54E0"/>
    <w:rsid w:val="0EE80814"/>
    <w:rsid w:val="0F98263C"/>
    <w:rsid w:val="101860EC"/>
    <w:rsid w:val="10C055FF"/>
    <w:rsid w:val="118107EC"/>
    <w:rsid w:val="123442B3"/>
    <w:rsid w:val="13D50BC4"/>
    <w:rsid w:val="16BB723D"/>
    <w:rsid w:val="1BE8440E"/>
    <w:rsid w:val="1CFA717C"/>
    <w:rsid w:val="1D155CEE"/>
    <w:rsid w:val="1FF35744"/>
    <w:rsid w:val="23860B96"/>
    <w:rsid w:val="240371BF"/>
    <w:rsid w:val="25AB0F23"/>
    <w:rsid w:val="26727C5E"/>
    <w:rsid w:val="26EE64B1"/>
    <w:rsid w:val="28936F43"/>
    <w:rsid w:val="29FD04D3"/>
    <w:rsid w:val="2A3A75DF"/>
    <w:rsid w:val="2B7A6920"/>
    <w:rsid w:val="2C8A61B5"/>
    <w:rsid w:val="2D377E06"/>
    <w:rsid w:val="2DF04E50"/>
    <w:rsid w:val="2EF17B7B"/>
    <w:rsid w:val="2F040D46"/>
    <w:rsid w:val="319F7F4E"/>
    <w:rsid w:val="3304709D"/>
    <w:rsid w:val="34471DF7"/>
    <w:rsid w:val="356B2D42"/>
    <w:rsid w:val="36967816"/>
    <w:rsid w:val="36AA5135"/>
    <w:rsid w:val="372570F9"/>
    <w:rsid w:val="376D39B2"/>
    <w:rsid w:val="37D82A22"/>
    <w:rsid w:val="37E16F03"/>
    <w:rsid w:val="387602DD"/>
    <w:rsid w:val="38D469F0"/>
    <w:rsid w:val="39A03A60"/>
    <w:rsid w:val="3D98207C"/>
    <w:rsid w:val="3D9E7ED1"/>
    <w:rsid w:val="3DA933D9"/>
    <w:rsid w:val="3E78745D"/>
    <w:rsid w:val="3F765FCD"/>
    <w:rsid w:val="3FAE10F8"/>
    <w:rsid w:val="3FAF7CCF"/>
    <w:rsid w:val="403326AF"/>
    <w:rsid w:val="44E268DA"/>
    <w:rsid w:val="486D7A5D"/>
    <w:rsid w:val="4A627F82"/>
    <w:rsid w:val="4AAC3C43"/>
    <w:rsid w:val="4B0E749A"/>
    <w:rsid w:val="4B4F25DA"/>
    <w:rsid w:val="4BD62F9E"/>
    <w:rsid w:val="4BE068DB"/>
    <w:rsid w:val="4D577224"/>
    <w:rsid w:val="4EAB630A"/>
    <w:rsid w:val="4ECE2238"/>
    <w:rsid w:val="50A25996"/>
    <w:rsid w:val="52156B81"/>
    <w:rsid w:val="5339302E"/>
    <w:rsid w:val="537E6D0A"/>
    <w:rsid w:val="559B2FF3"/>
    <w:rsid w:val="56763C45"/>
    <w:rsid w:val="59835D97"/>
    <w:rsid w:val="5AF92295"/>
    <w:rsid w:val="5B233D67"/>
    <w:rsid w:val="5B9B762E"/>
    <w:rsid w:val="5C613540"/>
    <w:rsid w:val="5CD71FC4"/>
    <w:rsid w:val="5DFF0757"/>
    <w:rsid w:val="60017C7C"/>
    <w:rsid w:val="60FA6D1A"/>
    <w:rsid w:val="61E73960"/>
    <w:rsid w:val="64AE0F7C"/>
    <w:rsid w:val="650F646A"/>
    <w:rsid w:val="66D14BE5"/>
    <w:rsid w:val="67175D12"/>
    <w:rsid w:val="694714CF"/>
    <w:rsid w:val="69BE5260"/>
    <w:rsid w:val="6A082859"/>
    <w:rsid w:val="6B335617"/>
    <w:rsid w:val="6C404D2D"/>
    <w:rsid w:val="6C4A05C8"/>
    <w:rsid w:val="6E7E3605"/>
    <w:rsid w:val="6FF5CC65"/>
    <w:rsid w:val="715C0E4B"/>
    <w:rsid w:val="72473C14"/>
    <w:rsid w:val="72734D90"/>
    <w:rsid w:val="73AD73D5"/>
    <w:rsid w:val="73B6EB34"/>
    <w:rsid w:val="741D5413"/>
    <w:rsid w:val="744731E5"/>
    <w:rsid w:val="74F63F29"/>
    <w:rsid w:val="750F1273"/>
    <w:rsid w:val="76E3355F"/>
    <w:rsid w:val="778769C8"/>
    <w:rsid w:val="78C87131"/>
    <w:rsid w:val="797A667D"/>
    <w:rsid w:val="79EE5BA4"/>
    <w:rsid w:val="7A894339"/>
    <w:rsid w:val="7BC26F87"/>
    <w:rsid w:val="7C9B2148"/>
    <w:rsid w:val="7E6F60A9"/>
    <w:rsid w:val="7EEF11D3"/>
    <w:rsid w:val="7F5F640D"/>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_Style 2"/>
    <w:next w:val="1"/>
    <w:qFormat/>
    <w:uiPriority w:val="0"/>
    <w:pPr>
      <w:keepNext/>
      <w:keepLines/>
      <w:spacing w:line="576" w:lineRule="exact"/>
      <w:jc w:val="both"/>
    </w:pPr>
    <w:rPr>
      <w:rFonts w:ascii="仿宋" w:hAnsi="仿宋" w:eastAsia="仿宋_GB2312" w:cs="仿宋"/>
      <w:color w:val="000000"/>
      <w:sz w:val="32"/>
      <w:szCs w:val="32"/>
      <w:lang w:val="en-US" w:eastAsia="zh-CN" w:bidi="ar-SA"/>
    </w:rPr>
  </w:style>
  <w:style w:type="paragraph" w:styleId="6">
    <w:name w:val="Body Text"/>
    <w:basedOn w:val="1"/>
    <w:link w:val="25"/>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1"/>
    <w:semiHidden/>
    <w:unhideWhenUsed/>
    <w:qFormat/>
    <w:uiPriority w:val="99"/>
    <w:rPr>
      <w:sz w:val="18"/>
      <w:szCs w:val="18"/>
    </w:rPr>
  </w:style>
  <w:style w:type="paragraph" w:styleId="10">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1"/>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0"/>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6"/>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3"/>
    <w:qFormat/>
    <w:uiPriority w:val="9"/>
    <w:rPr>
      <w:rFonts w:ascii="Times New Roman" w:hAnsi="Times New Roman"/>
      <w:b/>
      <w:bCs/>
      <w:kern w:val="44"/>
      <w:sz w:val="44"/>
      <w:szCs w:val="44"/>
    </w:rPr>
  </w:style>
  <w:style w:type="character" w:customStyle="1" w:styleId="29">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9"/>
    <w:semiHidden/>
    <w:qFormat/>
    <w:uiPriority w:val="99"/>
    <w:rPr>
      <w:rFonts w:ascii="Times New Roman" w:hAnsi="Times New Roman"/>
      <w:kern w:val="2"/>
      <w:sz w:val="18"/>
      <w:szCs w:val="18"/>
    </w:rPr>
  </w:style>
  <w:style w:type="character" w:customStyle="1" w:styleId="32">
    <w:name w:val="标题 3 Char"/>
    <w:basedOn w:val="16"/>
    <w:link w:val="5"/>
    <w:qFormat/>
    <w:uiPriority w:val="9"/>
    <w:rPr>
      <w:rFonts w:ascii="Times New Roman" w:hAnsi="Times New Roman"/>
      <w:b/>
      <w:bCs/>
      <w:kern w:val="2"/>
      <w:sz w:val="32"/>
      <w:szCs w:val="32"/>
    </w:rPr>
  </w:style>
  <w:style w:type="paragraph" w:customStyle="1" w:styleId="33">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5">
    <w:name w:val="WPSOffice手动目录 1"/>
    <w:qFormat/>
    <w:uiPriority w:val="0"/>
    <w:pPr>
      <w:ind w:leftChars="0"/>
    </w:pPr>
    <w:rPr>
      <w:rFonts w:asciiTheme="minorHAnsi" w:hAnsiTheme="minorHAnsi" w:eastAsiaTheme="minorEastAsia" w:cstheme="minorBidi"/>
      <w:sz w:val="20"/>
      <w:szCs w:val="20"/>
    </w:rPr>
  </w:style>
  <w:style w:type="paragraph" w:customStyle="1" w:styleId="36">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zh-CN"/>
              <a:t>收、支决算总计</a:t>
            </a:r>
            <a:r>
              <a:rPr lang="en-US" altLang="zh-CN"/>
              <a:t>                                       </a:t>
            </a:r>
            <a:endParaRPr lang="zh-CN" sz="1000"/>
          </a:p>
        </c:rich>
      </c:tx>
      <c:layout/>
      <c:overlay val="0"/>
      <c:spPr>
        <a:noFill/>
        <a:ln>
          <a:noFill/>
        </a:ln>
        <a:effectLst/>
      </c:spPr>
    </c:title>
    <c:autoTitleDeleted val="0"/>
    <c:plotArea>
      <c:layout>
        <c:manualLayout>
          <c:layoutTarget val="inner"/>
          <c:xMode val="edge"/>
          <c:yMode val="edge"/>
          <c:x val="0.12279392262085"/>
          <c:y val="0.181818181818182"/>
          <c:w val="0.8499859344734"/>
          <c:h val="0.656948509708538"/>
        </c:manualLayout>
      </c:layout>
      <c:barChart>
        <c:barDir val="col"/>
        <c:grouping val="clustered"/>
        <c:varyColors val="0"/>
        <c:ser>
          <c:idx val="0"/>
          <c:order val="0"/>
          <c:tx>
            <c:strRef>
              <c:f>Sheet1!$A$2</c:f>
              <c:strCache>
                <c:ptCount val="1"/>
                <c:pt idx="0">
                  <c:v>2021年</c:v>
                </c:pt>
              </c:strCache>
            </c:strRef>
          </c:tx>
          <c:spPr>
            <a:solidFill>
              <a:schemeClr val="accent1"/>
            </a:solidFill>
            <a:ln>
              <a:noFill/>
            </a:ln>
            <a:effectLst/>
            <a:sp3d/>
          </c:spPr>
          <c:invertIfNegative val="0"/>
          <c:dLbls>
            <c:delete val="1"/>
          </c:dLbls>
          <c:cat>
            <c:strRef>
              <c:f>Sheet1!$B$1:$B$1</c:f>
              <c:strCache>
                <c:ptCount val="1"/>
                <c:pt idx="0">
                  <c:v>收入、支出总计</c:v>
                </c:pt>
              </c:strCache>
            </c:strRef>
          </c:cat>
          <c:val>
            <c:numRef>
              <c:f>Sheet1!$B$2:$B$2</c:f>
              <c:numCache>
                <c:formatCode>General</c:formatCode>
                <c:ptCount val="1"/>
                <c:pt idx="0">
                  <c:v>1037.77</c:v>
                </c:pt>
              </c:numCache>
            </c:numRef>
          </c:val>
        </c:ser>
        <c:ser>
          <c:idx val="1"/>
          <c:order val="1"/>
          <c:tx>
            <c:strRef>
              <c:f>Sheet1!$A$3</c:f>
              <c:strCache>
                <c:ptCount val="1"/>
                <c:pt idx="0">
                  <c:v>2022年</c:v>
                </c:pt>
              </c:strCache>
            </c:strRef>
          </c:tx>
          <c:spPr>
            <a:solidFill>
              <a:schemeClr val="accent2"/>
            </a:solidFill>
            <a:ln>
              <a:noFill/>
            </a:ln>
            <a:effectLst/>
            <a:sp3d/>
          </c:spPr>
          <c:invertIfNegative val="0"/>
          <c:dLbls>
            <c:delete val="1"/>
          </c:dLbls>
          <c:cat>
            <c:strRef>
              <c:f>Sheet1!$B$1:$B$1</c:f>
              <c:strCache>
                <c:ptCount val="1"/>
                <c:pt idx="0">
                  <c:v>收入、支出总计</c:v>
                </c:pt>
              </c:strCache>
            </c:strRef>
          </c:cat>
          <c:val>
            <c:numRef>
              <c:f>Sheet1!$B$3:$B$3</c:f>
              <c:numCache>
                <c:formatCode>General</c:formatCode>
                <c:ptCount val="1"/>
                <c:pt idx="0">
                  <c:v>860.68</c:v>
                </c:pt>
              </c:numCache>
            </c:numRef>
          </c:val>
        </c:ser>
        <c:dLbls>
          <c:showLegendKey val="0"/>
          <c:showVal val="0"/>
          <c:showCatName val="0"/>
          <c:showSerName val="0"/>
          <c:showPercent val="0"/>
          <c:showBubbleSize val="0"/>
        </c:dLbls>
        <c:gapWidth val="150"/>
        <c:axId val="643508712"/>
        <c:axId val="647587376"/>
      </c:barChart>
      <c:catAx>
        <c:axId val="643508712"/>
        <c:scaling>
          <c:orientation val="minMax"/>
        </c:scaling>
        <c:delete val="1"/>
        <c:axPos val="b"/>
        <c:numFmt formatCode="General" sourceLinked="1"/>
        <c:majorTickMark val="none"/>
        <c:minorTickMark val="none"/>
        <c:tickLblPos val="low"/>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587376"/>
        <c:crosses val="autoZero"/>
        <c:auto val="1"/>
        <c:lblAlgn val="ctr"/>
        <c:lblOffset val="100"/>
        <c:tickLblSkip val="1"/>
        <c:noMultiLvlLbl val="0"/>
      </c:catAx>
      <c:valAx>
        <c:axId val="64758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173522702661824"/>
              <c:y val="0.0788113104328922"/>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3508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95238095238095"/>
          <c:y val="0.140065146579805"/>
          <c:w val="0.530952380952381"/>
          <c:h val="0.726384364820847"/>
        </c:manualLayout>
      </c:layout>
      <c:pieChart>
        <c:varyColors val="1"/>
        <c:ser>
          <c:idx val="0"/>
          <c:order val="0"/>
          <c:tx>
            <c:strRef>
              <c:f>Sheet1!$A$2</c:f>
              <c:strCache>
                <c:ptCount val="1"/>
                <c:pt idx="0">
                  <c:v>收入决算</c:v>
                </c:pt>
              </c:strCache>
            </c:strRef>
          </c:tx>
          <c:spPr>
            <a:solidFill>
              <a:srgbClr val="9999FF"/>
            </a:solidFill>
            <a:effectLst/>
          </c:spPr>
          <c:explosion val="0"/>
          <c:dPt>
            <c:idx val="0"/>
            <c:bubble3D val="0"/>
            <c:spPr>
              <a:solidFill>
                <a:srgbClr val="9999FF"/>
              </a:solidFill>
              <a:ln w="9510">
                <a:solidFill>
                  <a:srgbClr val="000000"/>
                </a:solidFill>
                <a:prstDash val="solid"/>
              </a:ln>
              <a:effectLst/>
            </c:spPr>
          </c:dPt>
          <c:dLbls>
            <c:delete val="1"/>
          </c:dLbls>
          <c:cat>
            <c:strRef>
              <c:f>Sheet1!$B$1</c:f>
              <c:strCache>
                <c:ptCount val="1"/>
                <c:pt idx="0">
                  <c:v>一般公共预算收入</c:v>
                </c:pt>
              </c:strCache>
            </c:strRef>
          </c:cat>
          <c:val>
            <c:numRef>
              <c:f>Sheet1!$B$2</c:f>
              <c:numCache>
                <c:formatCode>General</c:formatCode>
                <c:ptCount val="1"/>
                <c:pt idx="0">
                  <c:v>860.68</c:v>
                </c:pt>
              </c:numCache>
            </c:numRef>
          </c:val>
        </c:ser>
        <c:dLbls>
          <c:showLegendKey val="0"/>
          <c:showVal val="0"/>
          <c:showCatName val="0"/>
          <c:showSerName val="0"/>
          <c:showPercent val="0"/>
          <c:showBubbleSize val="0"/>
          <c:showLeaderLines val="1"/>
        </c:dLbls>
        <c:firstSliceAng val="0"/>
      </c:pieChart>
      <c:spPr>
        <a:solidFill>
          <a:srgbClr val="C0C0C0"/>
        </a:solidFill>
        <a:ln w="9510">
          <a:solidFill>
            <a:srgbClr val="808080"/>
          </a:solidFill>
          <a:prstDash val="solid"/>
        </a:ln>
        <a:effectLst/>
      </c:spPr>
    </c:plotArea>
    <c:legend>
      <c:legendPos val="r"/>
      <c:legendEntry>
        <c:idx val="0"/>
        <c:txPr>
          <a:bodyPr rot="0" spcFirstLastPara="0" vertOverflow="ellipsis" horzOverflow="overflow" vert="horz" wrap="square" anchor="ctr" anchorCtr="1"/>
          <a:lstStyle/>
          <a:p>
            <a:pPr>
              <a:defRPr lang="zh-CN" sz="5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Entry>
      <c:layout>
        <c:manualLayout>
          <c:xMode val="edge"/>
          <c:yMode val="edge"/>
          <c:x val="0.624795717103409"/>
          <c:y val="0.340368986237126"/>
          <c:w val="0.352662721893491"/>
          <c:h val="0.473831221604914"/>
        </c:manualLayout>
      </c:layout>
      <c:overlay val="0"/>
      <c:spPr>
        <a:noFill/>
        <a:ln w="2378">
          <a:solidFill>
            <a:srgbClr val="000000"/>
          </a:solidFill>
          <a:prstDash val="solid"/>
        </a:ln>
        <a:effectLst/>
      </c:spPr>
      <c:txPr>
        <a:bodyPr rot="0" spcFirstLastPara="0" vertOverflow="ellipsis" horzOverflow="overflow" vert="horz" wrap="square" anchor="ctr" anchorCtr="1"/>
        <a:lstStyle/>
        <a:p>
          <a:pPr>
            <a:defRPr lang="zh-CN" sz="5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noFill/>
    <a:ln w="9525" cap="flat" cmpd="sng" algn="ctr">
      <a:noFill/>
      <a:prstDash val="solid"/>
      <a:round/>
    </a:ln>
    <a:effectLst/>
  </c:spPr>
  <c:txPr>
    <a:bodyPr rot="0" spcFirstLastPara="0" vertOverflow="ellipsis" horzOverflow="overflow" vert="horz" wrap="square" anchor="ctr" anchorCtr="1"/>
    <a:lstStyle/>
    <a:p>
      <a:pPr>
        <a:defRPr lang="zh-CN" sz="9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Sheet1!$A$2</c:f>
              <c:strCache>
                <c:ptCount val="1"/>
                <c:pt idx="0">
                  <c:v>支出决算</c:v>
                </c:pt>
              </c:strCache>
            </c:strRef>
          </c:tx>
          <c:spPr>
            <a:effectLst/>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Sheet1!$B$1:$C$1</c:f>
              <c:strCache>
                <c:ptCount val="2"/>
                <c:pt idx="0">
                  <c:v>基本支出</c:v>
                </c:pt>
                <c:pt idx="1">
                  <c:v>项目支出</c:v>
                </c:pt>
              </c:strCache>
            </c:strRef>
          </c:cat>
          <c:val>
            <c:numRef>
              <c:f>Sheet1!$B$2:$C$2</c:f>
              <c:numCache>
                <c:formatCode>General</c:formatCode>
                <c:ptCount val="2"/>
                <c:pt idx="0">
                  <c:v>750.65</c:v>
                </c:pt>
                <c:pt idx="1">
                  <c:v>130.03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zh-CN"/>
              <a:t>财政拨款收、支决算总计</a:t>
            </a:r>
            <a:r>
              <a:rPr lang="en-US" altLang="zh-CN"/>
              <a:t>                                       </a:t>
            </a:r>
            <a:endParaRPr lang="zh-CN" sz="1000"/>
          </a:p>
        </c:rich>
      </c:tx>
      <c:layout/>
      <c:overlay val="0"/>
      <c:spPr>
        <a:noFill/>
        <a:ln>
          <a:noFill/>
        </a:ln>
        <a:effectLst/>
      </c:spPr>
    </c:title>
    <c:autoTitleDeleted val="0"/>
    <c:plotArea>
      <c:layout>
        <c:manualLayout>
          <c:layoutTarget val="inner"/>
          <c:xMode val="edge"/>
          <c:yMode val="edge"/>
          <c:x val="0.12279392262085"/>
          <c:y val="0.181818181818182"/>
          <c:w val="0.8499859344734"/>
          <c:h val="0.656948509708538"/>
        </c:manualLayout>
      </c:layout>
      <c:barChart>
        <c:barDir val="col"/>
        <c:grouping val="clustered"/>
        <c:varyColors val="0"/>
        <c:ser>
          <c:idx val="0"/>
          <c:order val="0"/>
          <c:tx>
            <c:strRef>
              <c:f>Sheet1!$A$2</c:f>
              <c:strCache>
                <c:ptCount val="1"/>
                <c:pt idx="0">
                  <c:v>2021年</c:v>
                </c:pt>
              </c:strCache>
            </c:strRef>
          </c:tx>
          <c:spPr>
            <a:solidFill>
              <a:schemeClr val="accent1"/>
            </a:solidFill>
            <a:ln>
              <a:noFill/>
            </a:ln>
            <a:effectLst/>
            <a:sp3d/>
          </c:spPr>
          <c:invertIfNegative val="0"/>
          <c:dLbls>
            <c:delete val="1"/>
          </c:dLbls>
          <c:cat>
            <c:strRef>
              <c:f>Sheet1!$B$1:$B$1</c:f>
              <c:strCache>
                <c:ptCount val="1"/>
                <c:pt idx="0">
                  <c:v>收入、支出总计</c:v>
                </c:pt>
              </c:strCache>
            </c:strRef>
          </c:cat>
          <c:val>
            <c:numRef>
              <c:f>Sheet1!$B$2:$B$2</c:f>
              <c:numCache>
                <c:formatCode>General</c:formatCode>
                <c:ptCount val="1"/>
                <c:pt idx="0">
                  <c:v>1037.77</c:v>
                </c:pt>
              </c:numCache>
            </c:numRef>
          </c:val>
        </c:ser>
        <c:ser>
          <c:idx val="1"/>
          <c:order val="1"/>
          <c:tx>
            <c:strRef>
              <c:f>Sheet1!$A$3</c:f>
              <c:strCache>
                <c:ptCount val="1"/>
                <c:pt idx="0">
                  <c:v>2022年</c:v>
                </c:pt>
              </c:strCache>
            </c:strRef>
          </c:tx>
          <c:spPr>
            <a:solidFill>
              <a:schemeClr val="accent2"/>
            </a:solidFill>
            <a:ln>
              <a:noFill/>
            </a:ln>
            <a:effectLst/>
            <a:sp3d/>
          </c:spPr>
          <c:invertIfNegative val="0"/>
          <c:dLbls>
            <c:delete val="1"/>
          </c:dLbls>
          <c:cat>
            <c:strRef>
              <c:f>Sheet1!$B$1:$B$1</c:f>
              <c:strCache>
                <c:ptCount val="1"/>
                <c:pt idx="0">
                  <c:v>收入、支出总计</c:v>
                </c:pt>
              </c:strCache>
            </c:strRef>
          </c:cat>
          <c:val>
            <c:numRef>
              <c:f>Sheet1!$B$3:$B$3</c:f>
              <c:numCache>
                <c:formatCode>General</c:formatCode>
                <c:ptCount val="1"/>
                <c:pt idx="0">
                  <c:v>860.68</c:v>
                </c:pt>
              </c:numCache>
            </c:numRef>
          </c:val>
        </c:ser>
        <c:dLbls>
          <c:showLegendKey val="0"/>
          <c:showVal val="0"/>
          <c:showCatName val="0"/>
          <c:showSerName val="0"/>
          <c:showPercent val="0"/>
          <c:showBubbleSize val="0"/>
        </c:dLbls>
        <c:gapWidth val="150"/>
        <c:axId val="643508712"/>
        <c:axId val="647587376"/>
      </c:barChart>
      <c:catAx>
        <c:axId val="643508712"/>
        <c:scaling>
          <c:orientation val="minMax"/>
        </c:scaling>
        <c:delete val="1"/>
        <c:axPos val="b"/>
        <c:numFmt formatCode="General" sourceLinked="1"/>
        <c:majorTickMark val="none"/>
        <c:minorTickMark val="none"/>
        <c:tickLblPos val="low"/>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587376"/>
        <c:crosses val="autoZero"/>
        <c:auto val="1"/>
        <c:lblAlgn val="ctr"/>
        <c:lblOffset val="100"/>
        <c:tickLblSkip val="1"/>
        <c:noMultiLvlLbl val="0"/>
      </c:catAx>
      <c:valAx>
        <c:axId val="64758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173522702661824"/>
              <c:y val="0.0788113104328922"/>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3508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2021年</c:v>
                </c:pt>
              </c:strCache>
            </c:strRef>
          </c:tx>
          <c:spPr>
            <a:solidFill>
              <a:schemeClr val="accent1"/>
            </a:solidFill>
            <a:ln>
              <a:noFill/>
            </a:ln>
            <a:effectLst/>
            <a:sp3d/>
          </c:spPr>
          <c:invertIfNegative val="0"/>
          <c:dLbls>
            <c:delete val="1"/>
          </c:dLbls>
          <c:cat>
            <c:strRef>
              <c:f>Sheet1!$B$1:$B$1</c:f>
              <c:strCache>
                <c:ptCount val="1"/>
                <c:pt idx="0">
                  <c:v>一般公共预算财政拨款支出</c:v>
                </c:pt>
              </c:strCache>
            </c:strRef>
          </c:cat>
          <c:val>
            <c:numRef>
              <c:f>Sheet1!$B$2:$B$2</c:f>
              <c:numCache>
                <c:formatCode>General</c:formatCode>
                <c:ptCount val="1"/>
                <c:pt idx="0">
                  <c:v>903.21</c:v>
                </c:pt>
              </c:numCache>
            </c:numRef>
          </c:val>
        </c:ser>
        <c:ser>
          <c:idx val="1"/>
          <c:order val="1"/>
          <c:tx>
            <c:strRef>
              <c:f>Sheet1!$A$3</c:f>
              <c:strCache>
                <c:ptCount val="1"/>
                <c:pt idx="0">
                  <c:v>2022年</c:v>
                </c:pt>
              </c:strCache>
            </c:strRef>
          </c:tx>
          <c:spPr>
            <a:solidFill>
              <a:schemeClr val="accent2"/>
            </a:solidFill>
            <a:ln>
              <a:noFill/>
            </a:ln>
            <a:effectLst/>
            <a:sp3d/>
          </c:spPr>
          <c:invertIfNegative val="0"/>
          <c:dLbls>
            <c:delete val="1"/>
          </c:dLbls>
          <c:cat>
            <c:strRef>
              <c:f>Sheet1!$B$1:$B$1</c:f>
              <c:strCache>
                <c:ptCount val="1"/>
                <c:pt idx="0">
                  <c:v>一般公共预算财政拨款支出</c:v>
                </c:pt>
              </c:strCache>
            </c:strRef>
          </c:cat>
          <c:val>
            <c:numRef>
              <c:f>Sheet1!$B$3:$B$3</c:f>
              <c:numCache>
                <c:formatCode>General</c:formatCode>
                <c:ptCount val="1"/>
                <c:pt idx="0">
                  <c:v>880.68</c:v>
                </c:pt>
              </c:numCache>
            </c:numRef>
          </c:val>
        </c:ser>
        <c:dLbls>
          <c:showLegendKey val="0"/>
          <c:showVal val="0"/>
          <c:showCatName val="0"/>
          <c:showSerName val="0"/>
          <c:showPercent val="0"/>
          <c:showBubbleSize val="0"/>
        </c:dLbls>
        <c:gapWidth val="150"/>
        <c:overlap val="0"/>
        <c:axId val="647590120"/>
        <c:axId val="647590512"/>
      </c:barChart>
      <c:catAx>
        <c:axId val="647590120"/>
        <c:scaling>
          <c:orientation val="minMax"/>
        </c:scaling>
        <c:delete val="0"/>
        <c:axPos val="b"/>
        <c:numFmt formatCode="General" sourceLinked="1"/>
        <c:majorTickMark val="none"/>
        <c:minorTickMark val="none"/>
        <c:tickLblPos val="low"/>
        <c:spPr>
          <a:noFill/>
          <a:ln>
            <a:noFill/>
          </a:ln>
          <a:effectLst/>
        </c:spPr>
        <c:txPr>
          <a:bodyPr rot="0" spcFirstLastPara="1"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590512"/>
        <c:crosses val="autoZero"/>
        <c:auto val="1"/>
        <c:lblAlgn val="ctr"/>
        <c:lblOffset val="100"/>
        <c:tickLblSkip val="1"/>
        <c:noMultiLvlLbl val="0"/>
      </c:catAx>
      <c:valAx>
        <c:axId val="6475905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5901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财政拨款支出决算结构情况</a:t>
            </a:r>
          </a:p>
        </c:rich>
      </c:tx>
      <c:layout/>
      <c:overlay val="0"/>
      <c:spPr>
        <a:noFill/>
        <a:ln>
          <a:noFill/>
        </a:ln>
        <a:effectLst/>
      </c:spPr>
    </c:title>
    <c:autoTitleDeleted val="0"/>
    <c:plotArea>
      <c:layout>
        <c:manualLayout>
          <c:layoutTarget val="inner"/>
          <c:xMode val="edge"/>
          <c:yMode val="edge"/>
          <c:x val="0.282183013319495"/>
          <c:y val="0.326628684666832"/>
          <c:w val="0.465040650406504"/>
          <c:h val="0.665940054495913"/>
        </c:manualLayout>
      </c:layout>
      <c:pieChart>
        <c:varyColors val="1"/>
        <c:ser>
          <c:idx val="0"/>
          <c:order val="0"/>
          <c:tx>
            <c:strRef>
              <c:f>Sheet1!$A$2</c:f>
              <c:strCache>
                <c:ptCount val="1"/>
                <c:pt idx="0">
                  <c:v>支出决算结构情况</c:v>
                </c:pt>
              </c:strCache>
            </c:strRef>
          </c:tx>
          <c:spPr/>
          <c:explosion val="1"/>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dPt>
          <c:dLbls>
            <c:dLbl>
              <c:idx val="0"/>
              <c:layout>
                <c:manualLayout>
                  <c:x val="0.112550374208405"/>
                  <c:y val="-0.0197856553998351"/>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462003454231434"/>
                  <c:y val="0.0706924979389942"/>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140328151986183"/>
                  <c:y val="0.0154575432811212"/>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一般公共服务支出</c:v>
                </c:pt>
                <c:pt idx="1">
                  <c:v>社会保障和就业支出</c:v>
                </c:pt>
                <c:pt idx="2">
                  <c:v>卫生健康支出</c:v>
                </c:pt>
                <c:pt idx="3">
                  <c:v>住房保障支出</c:v>
                </c:pt>
              </c:strCache>
            </c:strRef>
          </c:cat>
          <c:val>
            <c:numRef>
              <c:f>Sheet1!$B$2:$E$2</c:f>
              <c:numCache>
                <c:formatCode>General</c:formatCode>
                <c:ptCount val="4"/>
                <c:pt idx="0">
                  <c:v>734.19</c:v>
                </c:pt>
                <c:pt idx="1">
                  <c:v>62.2</c:v>
                </c:pt>
                <c:pt idx="2">
                  <c:v>31.5</c:v>
                </c:pt>
                <c:pt idx="3">
                  <c:v>52.79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“三公”经费支出结构情况</a:t>
            </a:r>
          </a:p>
        </c:rich>
      </c:tx>
      <c:layout/>
      <c:overlay val="0"/>
      <c:spPr>
        <a:noFill/>
        <a:ln>
          <a:noFill/>
        </a:ln>
        <a:effectLst/>
      </c:spPr>
    </c:title>
    <c:autoTitleDeleted val="0"/>
    <c:plotArea>
      <c:layout/>
      <c:pieChart>
        <c:varyColors val="1"/>
        <c:ser>
          <c:idx val="0"/>
          <c:order val="0"/>
          <c:tx>
            <c:strRef>
              <c:f>Sheet1!$A$2</c:f>
              <c:strCache>
                <c:ptCount val="1"/>
                <c:pt idx="0">
                  <c:v>“三公”经费支出情况</c:v>
                </c:pt>
              </c:strCache>
            </c:strRef>
          </c:tx>
          <c:spPr/>
          <c:explosion val="0"/>
          <c:dPt>
            <c:idx val="0"/>
            <c:bubble3D val="0"/>
            <c:spPr>
              <a:gradFill>
                <a:gsLst>
                  <a:gs pos="0">
                    <a:schemeClr val="accent1">
                      <a:hueOff val="-1670000"/>
                    </a:schemeClr>
                  </a:gs>
                  <a:gs pos="100000">
                    <a:schemeClr val="accent1"/>
                  </a:gs>
                </a:gsLst>
                <a:lin ang="5400000" scaled="0"/>
              </a:gradFill>
              <a:ln>
                <a:gradFill>
                  <a:gsLst>
                    <a:gs pos="0">
                      <a:schemeClr val="accent1">
                        <a:lumMod val="75000"/>
                        <a:hueOff val="-1670000"/>
                      </a:schemeClr>
                    </a:gs>
                    <a:gs pos="100000">
                      <a:schemeClr val="accent1">
                        <a:lumMod val="75000"/>
                      </a:schemeClr>
                    </a:gs>
                  </a:gsLst>
                  <a:lin ang="5160000" scaled="1"/>
                </a:gradFill>
              </a:ln>
              <a:effectLst/>
            </c:spPr>
          </c:dPt>
          <c:dPt>
            <c:idx val="1"/>
            <c:bubble3D val="0"/>
            <c:spPr>
              <a:gradFill>
                <a:gsLst>
                  <a:gs pos="0">
                    <a:schemeClr val="accent2">
                      <a:hueOff val="-1670000"/>
                    </a:schemeClr>
                  </a:gs>
                  <a:gs pos="100000">
                    <a:schemeClr val="accent2"/>
                  </a:gs>
                </a:gsLst>
                <a:lin ang="5400000" scaled="0"/>
              </a:gradFill>
              <a:ln>
                <a:gradFill>
                  <a:gsLst>
                    <a:gs pos="0">
                      <a:schemeClr val="accent2">
                        <a:lumMod val="75000"/>
                        <a:hueOff val="-1670000"/>
                      </a:schemeClr>
                    </a:gs>
                    <a:gs pos="100000">
                      <a:schemeClr val="accent2">
                        <a:lumMod val="75000"/>
                      </a:schemeClr>
                    </a:gs>
                  </a:gsLst>
                  <a:lin ang="5160000" scaled="1"/>
                </a:gradFill>
              </a:ln>
              <a:effectLst/>
            </c:spPr>
          </c:dPt>
          <c:dPt>
            <c:idx val="2"/>
            <c:bubble3D val="0"/>
            <c:spPr>
              <a:gradFill>
                <a:gsLst>
                  <a:gs pos="0">
                    <a:schemeClr val="accent3">
                      <a:hueOff val="-1670000"/>
                    </a:schemeClr>
                  </a:gs>
                  <a:gs pos="100000">
                    <a:schemeClr val="accent3"/>
                  </a:gs>
                </a:gsLst>
                <a:lin ang="5400000" scaled="0"/>
              </a:gradFill>
              <a:ln>
                <a:gradFill>
                  <a:gsLst>
                    <a:gs pos="0">
                      <a:schemeClr val="accent3">
                        <a:lumMod val="75000"/>
                        <a:hueOff val="-1670000"/>
                      </a:schemeClr>
                    </a:gs>
                    <a:gs pos="100000">
                      <a:schemeClr val="accent3">
                        <a:lumMod val="75000"/>
                      </a:schemeClr>
                    </a:gs>
                  </a:gsLst>
                  <a:lin ang="5160000" scaled="1"/>
                </a:gradFill>
              </a:ln>
              <a:effectLst/>
            </c:spPr>
          </c:dPt>
          <c:dLbls>
            <c:dLbl>
              <c:idx val="0"/>
              <c:layout>
                <c:manualLayout>
                  <c:x val="-0.0389180442515356"/>
                  <c:y val="0.070055154431704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0590625205578446"/>
                  <c:y val="0.095709420898556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因公出国（境）费</c:v>
                </c:pt>
                <c:pt idx="1">
                  <c:v>公务接待费</c:v>
                </c:pt>
                <c:pt idx="2">
                  <c:v>公务用车运行维护费</c:v>
                </c:pt>
              </c:strCache>
            </c:strRef>
          </c:cat>
          <c:val>
            <c:numRef>
              <c:f>Sheet1!$B$2:$D$2</c:f>
              <c:numCache>
                <c:formatCode>General</c:formatCode>
                <c:ptCount val="3"/>
                <c:pt idx="0">
                  <c:v>0</c:v>
                </c:pt>
                <c:pt idx="1">
                  <c:v>0.49</c:v>
                </c:pt>
                <c:pt idx="2">
                  <c:v>7.24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lt1">
        <a:lumMod val="96000"/>
      </a:schemeClr>
    </a:solidFill>
    <a:ln w="9525" cap="flat" cmpd="sng" algn="ctr">
      <a:solidFill>
        <a:schemeClr val="tx1">
          <a:lumMod val="15000"/>
          <a:lumOff val="85000"/>
        </a:schemeClr>
      </a:solidFill>
      <a:round/>
    </a:ln>
    <a:effectLst/>
  </c:spPr>
  <c:txPr>
    <a:bodyPr wrap="square"/>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hueOff val="-1670000"/>
            </a:schemeClr>
          </a:gs>
          <a:gs pos="100000">
            <a:schemeClr val="phClr"/>
          </a:gs>
        </a:gsLst>
        <a:lin ang="5400000" scaled="0"/>
      </a:gradFill>
      <a:ln>
        <a:gradFill>
          <a:gsLst>
            <a:gs pos="0">
              <a:schemeClr val="phClr">
                <a:lumMod val="75000"/>
                <a:hueOff val="-1670000"/>
              </a:schemeClr>
            </a:gs>
            <a:gs pos="100000">
              <a:schemeClr val="phClr">
                <a:lumMod val="75000"/>
              </a:schemeClr>
            </a:gs>
          </a:gsLst>
          <a:lin ang="516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1299</Words>
  <Characters>7410</Characters>
  <Lines>61</Lines>
  <Paragraphs>17</Paragraphs>
  <TotalTime>1</TotalTime>
  <ScaleCrop>false</ScaleCrop>
  <LinksUpToDate>false</LinksUpToDate>
  <CharactersWithSpaces>8692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云尽烟消</cp:lastModifiedBy>
  <cp:lastPrinted>2023-07-31T02:35:00Z</cp:lastPrinted>
  <dcterms:modified xsi:type="dcterms:W3CDTF">2023-10-13T06:51:17Z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890C28EDF7EA48CB940EEFCAD2DBFF04_12</vt:lpwstr>
  </property>
</Properties>
</file>